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华文中宋" w:cs="Times New Roman"/>
          <w:sz w:val="44"/>
          <w:szCs w:val="44"/>
        </w:rPr>
      </w:pPr>
    </w:p>
    <w:p>
      <w:pPr>
        <w:spacing w:line="560" w:lineRule="exact"/>
        <w:jc w:val="center"/>
        <w:rPr>
          <w:rFonts w:ascii="Times New Roman" w:hAnsi="Times New Roman" w:eastAsia="华文中宋" w:cs="Times New Roman"/>
          <w:sz w:val="44"/>
          <w:szCs w:val="44"/>
        </w:rPr>
      </w:pPr>
    </w:p>
    <w:p>
      <w:pPr>
        <w:spacing w:line="560" w:lineRule="exact"/>
        <w:jc w:val="center"/>
        <w:rPr>
          <w:rFonts w:ascii="Times New Roman" w:hAnsi="Times New Roman" w:eastAsia="华文中宋" w:cs="Times New Roman"/>
          <w:sz w:val="44"/>
          <w:szCs w:val="44"/>
        </w:rPr>
      </w:pPr>
    </w:p>
    <w:p>
      <w:pPr>
        <w:spacing w:line="560" w:lineRule="exact"/>
        <w:jc w:val="center"/>
        <w:rPr>
          <w:rFonts w:ascii="Times New Roman" w:hAnsi="Times New Roman" w:eastAsia="华文中宋" w:cs="Times New Roman"/>
          <w:sz w:val="44"/>
          <w:szCs w:val="44"/>
        </w:rPr>
      </w:pPr>
    </w:p>
    <w:p>
      <w:pPr>
        <w:spacing w:line="560" w:lineRule="exact"/>
        <w:jc w:val="center"/>
        <w:rPr>
          <w:rFonts w:hint="eastAsia" w:ascii="Times New Roman" w:hAnsi="Times New Roman" w:eastAsia="华文中宋" w:cs="Times New Roman"/>
          <w:sz w:val="44"/>
          <w:szCs w:val="44"/>
          <w:lang w:val="en-US" w:eastAsia="zh-CN"/>
        </w:rPr>
      </w:pPr>
      <w:r>
        <w:rPr>
          <w:rFonts w:ascii="Times New Roman" w:hAnsi="Times New Roman" w:eastAsia="华文中宋" w:cs="Times New Roman"/>
          <w:sz w:val="44"/>
          <w:szCs w:val="44"/>
        </w:rPr>
        <w:t>山东省自然资源厅</w:t>
      </w:r>
      <w:r>
        <w:rPr>
          <w:rFonts w:hint="eastAsia" w:ascii="Times New Roman" w:hAnsi="Times New Roman" w:eastAsia="华文中宋" w:cs="Times New Roman"/>
          <w:sz w:val="44"/>
          <w:szCs w:val="44"/>
          <w:lang w:val="en-US" w:eastAsia="zh-CN"/>
        </w:rPr>
        <w:t>办公室</w:t>
      </w:r>
    </w:p>
    <w:p>
      <w:pPr>
        <w:spacing w:line="560" w:lineRule="exact"/>
        <w:jc w:val="center"/>
        <w:rPr>
          <w:rFonts w:ascii="Times New Roman" w:hAnsi="Times New Roman" w:eastAsia="华文中宋" w:cs="Times New Roman"/>
          <w:sz w:val="44"/>
          <w:szCs w:val="44"/>
        </w:rPr>
      </w:pPr>
      <w:r>
        <w:rPr>
          <w:rFonts w:ascii="Times New Roman" w:hAnsi="Times New Roman" w:eastAsia="华文中宋" w:cs="Times New Roman"/>
          <w:sz w:val="44"/>
          <w:szCs w:val="44"/>
        </w:rPr>
        <w:t>关于开展202</w:t>
      </w:r>
      <w:r>
        <w:rPr>
          <w:rFonts w:hint="eastAsia" w:ascii="Times New Roman" w:hAnsi="Times New Roman" w:eastAsia="华文中宋" w:cs="Times New Roman"/>
          <w:sz w:val="44"/>
          <w:szCs w:val="44"/>
        </w:rPr>
        <w:t>3</w:t>
      </w:r>
      <w:r>
        <w:rPr>
          <w:rFonts w:ascii="Times New Roman" w:hAnsi="Times New Roman" w:eastAsia="华文中宋" w:cs="Times New Roman"/>
          <w:sz w:val="44"/>
          <w:szCs w:val="44"/>
        </w:rPr>
        <w:t>年度开发区土地集约利用</w:t>
      </w:r>
    </w:p>
    <w:p>
      <w:pPr>
        <w:spacing w:line="560" w:lineRule="exact"/>
        <w:jc w:val="center"/>
        <w:rPr>
          <w:rFonts w:ascii="Times New Roman" w:hAnsi="Times New Roman" w:eastAsia="华文中宋" w:cs="Times New Roman"/>
          <w:sz w:val="44"/>
          <w:szCs w:val="44"/>
        </w:rPr>
      </w:pPr>
      <w:r>
        <w:rPr>
          <w:rFonts w:ascii="Times New Roman" w:hAnsi="Times New Roman" w:eastAsia="华文中宋" w:cs="Times New Roman"/>
          <w:sz w:val="44"/>
          <w:szCs w:val="44"/>
        </w:rPr>
        <w:t>监测统计工作的通知</w:t>
      </w:r>
    </w:p>
    <w:p>
      <w:pPr>
        <w:spacing w:line="560" w:lineRule="exact"/>
        <w:jc w:val="center"/>
        <w:rPr>
          <w:rFonts w:ascii="Times New Roman" w:hAnsi="Times New Roman" w:eastAsia="华文中宋" w:cs="Times New Roman"/>
          <w:sz w:val="44"/>
          <w:szCs w:val="44"/>
        </w:rPr>
      </w:pPr>
    </w:p>
    <w:p>
      <w:pPr>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各市自然资源主管部门：</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为进一步</w:t>
      </w:r>
      <w:r>
        <w:rPr>
          <w:rFonts w:hint="default" w:ascii="Times New Roman" w:hAnsi="Times New Roman" w:eastAsia="仿宋_GB2312" w:cs="Times New Roman"/>
          <w:sz w:val="32"/>
          <w:szCs w:val="32"/>
          <w:lang w:val="en-US" w:eastAsia="zh-CN"/>
        </w:rPr>
        <w:t>加强</w:t>
      </w:r>
      <w:r>
        <w:rPr>
          <w:rFonts w:hint="default" w:ascii="Times New Roman" w:hAnsi="Times New Roman" w:eastAsia="仿宋_GB2312" w:cs="Times New Roman"/>
          <w:sz w:val="32"/>
          <w:szCs w:val="32"/>
        </w:rPr>
        <w:t>开发区用地管理，按照《自然资源部办公厅关于开展2023年度开发区土地集约利用监测统计有关工作的通知》（自然资办函〔2023〕1349号）要求，部署开展2023年度全省开发区土地集约利用监测统计工作。现将有关事项通知如下：</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一、监测对象及监测统计时点</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（一）监测对象</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第一类产业园</w:t>
      </w:r>
      <w:r>
        <w:rPr>
          <w:rFonts w:hint="default" w:ascii="Times New Roman" w:hAnsi="Times New Roman" w:eastAsia="仿宋_GB2312" w:cs="Times New Roman"/>
          <w:sz w:val="32"/>
          <w:szCs w:val="32"/>
        </w:rPr>
        <w:t>：由国务院或省人民政府依法依规设立的国家级和省级开发区。</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第二类产业园</w:t>
      </w:r>
      <w:r>
        <w:rPr>
          <w:rFonts w:hint="default" w:ascii="Times New Roman" w:hAnsi="Times New Roman" w:eastAsia="仿宋_GB2312" w:cs="Times New Roman"/>
          <w:sz w:val="32"/>
          <w:szCs w:val="32"/>
        </w:rPr>
        <w:t>：除第一类产业园外，由各级政府批准设立的产业聚集区域。</w:t>
      </w:r>
    </w:p>
    <w:p>
      <w:pPr>
        <w:spacing w:line="56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第三类产业园：</w:t>
      </w:r>
      <w:r>
        <w:rPr>
          <w:rFonts w:hint="default" w:ascii="Times New Roman" w:hAnsi="Times New Roman" w:eastAsia="仿宋_GB2312" w:cs="Times New Roman"/>
          <w:sz w:val="32"/>
          <w:szCs w:val="32"/>
          <w:lang w:val="en-US" w:eastAsia="zh-CN"/>
        </w:rPr>
        <w:t>由社会主体包括民营企业、外资企业等根据市场需求，以产业园名义招商引资的产业园，包括但不限于各类园、区、小镇、港、孵化器、基地等。</w:t>
      </w:r>
    </w:p>
    <w:p>
      <w:pPr>
        <w:spacing w:line="56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其中，第三类产业园监测统计工作由各地市根据情况自愿开展。</w:t>
      </w: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（二）监测统计时点</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本轮监测统计时点为2022年12月31日。</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二、监测范围及内容</w:t>
      </w:r>
    </w:p>
    <w:p>
      <w:pPr>
        <w:spacing w:line="560" w:lineRule="exact"/>
        <w:ind w:firstLine="640" w:firstLineChars="200"/>
        <w:rPr>
          <w:rFonts w:ascii="Times New Roman" w:hAnsi="Times New Roman" w:eastAsia="楷体" w:cs="Times New Roman"/>
          <w:sz w:val="32"/>
          <w:szCs w:val="32"/>
        </w:rPr>
      </w:pPr>
      <w:r>
        <w:rPr>
          <w:rFonts w:hint="eastAsia" w:ascii="Times New Roman" w:hAnsi="Times New Roman" w:eastAsia="楷体" w:cs="Times New Roman"/>
          <w:sz w:val="32"/>
          <w:szCs w:val="32"/>
        </w:rPr>
        <w:t>（一）</w:t>
      </w:r>
      <w:r>
        <w:rPr>
          <w:rFonts w:ascii="Times New Roman" w:hAnsi="Times New Roman" w:eastAsia="楷体" w:cs="Times New Roman"/>
          <w:sz w:val="32"/>
          <w:szCs w:val="32"/>
        </w:rPr>
        <w:t>监测统计范围</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第一类产业园的批准范围和实际管理范围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类产业园的实际管理范围。</w:t>
      </w:r>
    </w:p>
    <w:p>
      <w:pPr>
        <w:spacing w:line="560" w:lineRule="exact"/>
        <w:ind w:firstLine="640" w:firstLineChars="200"/>
        <w:rPr>
          <w:rFonts w:ascii="Times New Roman" w:hAnsi="Times New Roman" w:eastAsia="楷体" w:cs="Times New Roman"/>
          <w:sz w:val="32"/>
          <w:szCs w:val="32"/>
        </w:rPr>
      </w:pPr>
      <w:r>
        <w:rPr>
          <w:rFonts w:hint="eastAsia" w:ascii="Times New Roman" w:hAnsi="Times New Roman" w:eastAsia="楷体" w:cs="Times New Roman"/>
          <w:sz w:val="32"/>
          <w:szCs w:val="32"/>
        </w:rPr>
        <w:t>（二）</w:t>
      </w:r>
      <w:r>
        <w:rPr>
          <w:rFonts w:ascii="Times New Roman" w:hAnsi="Times New Roman" w:eastAsia="楷体" w:cs="Times New Roman"/>
          <w:sz w:val="32"/>
          <w:szCs w:val="32"/>
        </w:rPr>
        <w:t>监测统计内容</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第一类产业园：</w:t>
      </w:r>
      <w:r>
        <w:rPr>
          <w:rFonts w:hint="default" w:ascii="Times New Roman" w:hAnsi="Times New Roman" w:eastAsia="仿宋_GB2312" w:cs="Times New Roman"/>
          <w:sz w:val="32"/>
          <w:szCs w:val="32"/>
        </w:rPr>
        <w:t>开展开发区土地集约利用监测统计，完成土地利用状况、用地效益、管理绩效和低效用地等有关指标和数据调查。</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第二</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lang w:val="en-US" w:eastAsia="zh-CN"/>
        </w:rPr>
        <w:t>三</w:t>
      </w:r>
      <w:r>
        <w:rPr>
          <w:rFonts w:hint="default" w:ascii="Times New Roman" w:hAnsi="Times New Roman" w:eastAsia="仿宋_GB2312" w:cs="Times New Roman"/>
          <w:b/>
          <w:bCs/>
          <w:sz w:val="32"/>
          <w:szCs w:val="32"/>
        </w:rPr>
        <w:t>类产业园：</w:t>
      </w:r>
      <w:r>
        <w:rPr>
          <w:rFonts w:hint="default" w:ascii="Times New Roman" w:hAnsi="Times New Roman" w:eastAsia="仿宋_GB2312" w:cs="Times New Roman"/>
          <w:sz w:val="32"/>
          <w:szCs w:val="32"/>
        </w:rPr>
        <w:t>搜集有关园区信息，完成土地利用状况、用地效益、管理绩效等有关指标和数据调查。</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各类</w:t>
      </w:r>
      <w:r>
        <w:rPr>
          <w:rFonts w:hint="default" w:ascii="Times New Roman" w:hAnsi="Times New Roman" w:eastAsia="仿宋_GB2312" w:cs="Times New Roman"/>
          <w:sz w:val="32"/>
          <w:szCs w:val="32"/>
          <w:lang w:val="en-US" w:eastAsia="zh-CN"/>
        </w:rPr>
        <w:t>产业园</w:t>
      </w:r>
      <w:r>
        <w:rPr>
          <w:rFonts w:hint="default" w:ascii="Times New Roman" w:hAnsi="Times New Roman" w:eastAsia="仿宋_GB2312" w:cs="Times New Roman"/>
          <w:sz w:val="32"/>
          <w:szCs w:val="32"/>
        </w:rPr>
        <w:t>具体监测统计内容详见附件1。</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三、工作要求</w:t>
      </w:r>
    </w:p>
    <w:p>
      <w:pPr>
        <w:spacing w:line="560" w:lineRule="exact"/>
        <w:ind w:firstLine="640" w:firstLineChars="200"/>
        <w:rPr>
          <w:rFonts w:ascii="Times New Roman" w:hAnsi="Times New Roman" w:eastAsia="楷体" w:cs="Times New Roman"/>
          <w:sz w:val="32"/>
          <w:szCs w:val="32"/>
        </w:rPr>
      </w:pPr>
      <w:r>
        <w:rPr>
          <w:rFonts w:hint="eastAsia" w:ascii="Times New Roman" w:hAnsi="Times New Roman" w:eastAsia="楷体" w:cs="Times New Roman"/>
          <w:sz w:val="32"/>
          <w:szCs w:val="32"/>
        </w:rPr>
        <w:t>（一）强化工作组织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各市、县（市、区）自然资源主管部门应按照通知要求，明确协调机制，强化责任分工，加强统筹调度，高效推进本年度开发区监测统计工作，确保高质量完成工作任务。</w:t>
      </w:r>
    </w:p>
    <w:p>
      <w:pPr>
        <w:spacing w:line="560" w:lineRule="exact"/>
        <w:ind w:firstLine="640" w:firstLineChars="200"/>
        <w:rPr>
          <w:rFonts w:ascii="Times New Roman" w:hAnsi="Times New Roman" w:eastAsia="楷体" w:cs="Times New Roman"/>
          <w:sz w:val="32"/>
          <w:szCs w:val="32"/>
        </w:rPr>
      </w:pPr>
      <w:r>
        <w:rPr>
          <w:rFonts w:hint="eastAsia" w:ascii="Times New Roman" w:hAnsi="Times New Roman" w:eastAsia="楷体" w:cs="Times New Roman"/>
          <w:sz w:val="32"/>
          <w:szCs w:val="32"/>
        </w:rPr>
        <w:t>（二）做好数据衔接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监测统计工作需与工业用地利用情况调查、城镇低效用地再开发、“亩产效益”评价改革、开发区考核以及综合保税区发展绩效评估等相关工作做好衔接，确保数据真实准确。</w:t>
      </w:r>
    </w:p>
    <w:p>
      <w:pPr>
        <w:spacing w:line="560" w:lineRule="exact"/>
        <w:ind w:firstLine="640" w:firstLineChars="200"/>
        <w:rPr>
          <w:rFonts w:ascii="Times New Roman" w:hAnsi="Times New Roman" w:eastAsia="楷体" w:cs="Times New Roman"/>
          <w:sz w:val="32"/>
          <w:szCs w:val="32"/>
        </w:rPr>
      </w:pPr>
      <w:r>
        <w:rPr>
          <w:rFonts w:hint="eastAsia" w:ascii="Times New Roman" w:hAnsi="Times New Roman" w:eastAsia="楷体" w:cs="Times New Roman"/>
          <w:sz w:val="32"/>
          <w:szCs w:val="32"/>
        </w:rPr>
        <w:t>（三）严控成果质量</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各县（市、区）要切实做好数据调查与填报工作，各地市要严把成果审核质量关，省厅将组织技术力量通过软件审核、人工审核、现场抽检等手段对监测统计成果进行全面检查，严控数据质量。</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四、成果要求</w:t>
      </w:r>
    </w:p>
    <w:p>
      <w:pPr>
        <w:spacing w:line="560" w:lineRule="exact"/>
        <w:ind w:firstLine="640" w:firstLineChars="200"/>
        <w:rPr>
          <w:rFonts w:hint="eastAsia" w:ascii="楷体_GB2312" w:hAnsi="Times New Roman" w:eastAsia="楷体_GB2312" w:cs="Times New Roman"/>
          <w:sz w:val="32"/>
          <w:szCs w:val="32"/>
        </w:rPr>
      </w:pPr>
      <w:r>
        <w:rPr>
          <w:rFonts w:hint="eastAsia" w:ascii="楷体_GB2312" w:hAnsi="Times New Roman" w:eastAsia="楷体_GB2312" w:cs="Times New Roman"/>
          <w:sz w:val="32"/>
          <w:szCs w:val="32"/>
        </w:rPr>
        <w:t>（一）成果要件</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1.土地集约利用监测统计基础数据表，格式为*.xlsx和*.pdf（加盖填报单位公章）。</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2.开发区土地集约利用监测统计范围边界矢量数据,格式为*.shp，矢量属性信息包括开发区代码、开发区名称、开发区类型、所属省、所属市、县、园区面积等。</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3.开发区土地集约利用监测统计范围示意图，格式为*.jpg。</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4.其他材料，包括范围变动、数据填报支撑依据等文件，格式*.pdf。</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成果具体命名要求及成果组织形式，待中国国土勘测规划院确定后另行通知。</w:t>
      </w:r>
    </w:p>
    <w:p>
      <w:pPr>
        <w:spacing w:line="560" w:lineRule="exact"/>
        <w:ind w:firstLine="640" w:firstLineChars="200"/>
        <w:rPr>
          <w:rFonts w:ascii="楷体_GB2312" w:hAnsi="Times New Roman" w:eastAsia="楷体_GB2312" w:cs="Times New Roman"/>
          <w:sz w:val="32"/>
          <w:szCs w:val="32"/>
        </w:rPr>
      </w:pPr>
      <w:r>
        <w:rPr>
          <w:rFonts w:ascii="楷体_GB2312" w:hAnsi="Times New Roman" w:eastAsia="楷体_GB2312" w:cs="Times New Roman"/>
          <w:sz w:val="32"/>
          <w:szCs w:val="32"/>
        </w:rPr>
        <w:t>（二）成果提交时间</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日前，以地市为单位将本</w:t>
      </w:r>
      <w:r>
        <w:rPr>
          <w:rFonts w:hint="default" w:ascii="Times New Roman" w:hAnsi="Times New Roman" w:eastAsia="仿宋_GB2312" w:cs="Times New Roman"/>
          <w:sz w:val="32"/>
          <w:szCs w:val="32"/>
          <w:lang w:val="en-US" w:eastAsia="zh-CN"/>
        </w:rPr>
        <w:t>年度</w:t>
      </w:r>
      <w:r>
        <w:rPr>
          <w:rFonts w:hint="default" w:ascii="Times New Roman" w:hAnsi="Times New Roman" w:eastAsia="仿宋_GB2312" w:cs="Times New Roman"/>
          <w:sz w:val="32"/>
          <w:szCs w:val="32"/>
        </w:rPr>
        <w:t>监测统计工作相应成果报送山东省国土空间规划院。</w:t>
      </w:r>
    </w:p>
    <w:p>
      <w:pPr>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报送地址：山东省国土空间规划院414房间（济南市历下区二环东路5948号）</w:t>
      </w:r>
      <w:r>
        <w:rPr>
          <w:rFonts w:hint="default" w:ascii="Times New Roman" w:hAnsi="Times New Roman" w:eastAsia="仿宋_GB2312" w:cs="Times New Roman"/>
          <w:sz w:val="32"/>
          <w:szCs w:val="32"/>
          <w:lang w:eastAsia="zh-CN"/>
        </w:rPr>
        <w:t>。</w:t>
      </w:r>
    </w:p>
    <w:p>
      <w:pPr>
        <w:spacing w:line="56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五、其他要求</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w:t>
      </w:r>
      <w:r>
        <w:rPr>
          <w:rFonts w:hint="default" w:ascii="Times New Roman" w:hAnsi="Times New Roman" w:eastAsia="仿宋_GB2312" w:cs="Times New Roman"/>
          <w:sz w:val="32"/>
          <w:szCs w:val="32"/>
          <w:lang w:val="en-US" w:eastAsia="zh-CN"/>
        </w:rPr>
        <w:t>地</w:t>
      </w:r>
      <w:r>
        <w:rPr>
          <w:rFonts w:hint="default" w:ascii="Times New Roman" w:hAnsi="Times New Roman" w:eastAsia="仿宋_GB2312" w:cs="Times New Roman"/>
          <w:sz w:val="32"/>
          <w:szCs w:val="32"/>
        </w:rPr>
        <w:t>市自然资源主管部门需</w:t>
      </w:r>
      <w:r>
        <w:rPr>
          <w:rFonts w:hint="eastAsia" w:ascii="Times New Roman" w:hAnsi="Times New Roman" w:eastAsia="仿宋_GB2312" w:cs="Times New Roman"/>
          <w:sz w:val="32"/>
          <w:szCs w:val="32"/>
          <w:lang w:val="en-US" w:eastAsia="zh-CN"/>
        </w:rPr>
        <w:t>提前</w:t>
      </w:r>
      <w:r>
        <w:rPr>
          <w:rFonts w:hint="default" w:ascii="Times New Roman" w:hAnsi="Times New Roman" w:eastAsia="仿宋_GB2312" w:cs="Times New Roman"/>
          <w:sz w:val="32"/>
          <w:szCs w:val="32"/>
        </w:rPr>
        <w:t>明确辖区范围内参评</w:t>
      </w:r>
      <w:r>
        <w:rPr>
          <w:rFonts w:hint="eastAsia" w:ascii="Times New Roman" w:hAnsi="Times New Roman" w:eastAsia="仿宋_GB2312" w:cs="Times New Roman"/>
          <w:sz w:val="32"/>
          <w:szCs w:val="32"/>
          <w:lang w:val="en-US" w:eastAsia="zh-CN"/>
        </w:rPr>
        <w:t>第一、二类</w:t>
      </w:r>
      <w:r>
        <w:rPr>
          <w:rFonts w:hint="default" w:ascii="Times New Roman" w:hAnsi="Times New Roman" w:eastAsia="仿宋_GB2312" w:cs="Times New Roman"/>
          <w:sz w:val="32"/>
          <w:szCs w:val="32"/>
        </w:rPr>
        <w:t>产业园名单与1名开发区监测统计工作市级联系人。</w:t>
      </w:r>
      <w:r>
        <w:rPr>
          <w:rFonts w:hint="default" w:ascii="Times New Roman" w:hAnsi="Times New Roman" w:eastAsia="仿宋_GB2312" w:cs="Times New Roman"/>
          <w:b w:val="0"/>
          <w:bCs w:val="0"/>
          <w:sz w:val="32"/>
          <w:szCs w:val="32"/>
          <w:lang w:val="en-US" w:eastAsia="zh-CN"/>
        </w:rPr>
        <w:t>自愿参评的第三类产业园监测统计成果按时间要求与第一、二类产业园监测统计成果一并提交，无须提前上报是否参评等情况。</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请各地市将第一、二类产业园历年参评情况表（附件2）中“</w:t>
      </w:r>
      <w:r>
        <w:rPr>
          <w:rFonts w:hint="default" w:ascii="Times New Roman" w:hAnsi="Times New Roman" w:eastAsia="仿宋_GB2312" w:cs="Times New Roman"/>
          <w:b/>
          <w:bCs/>
          <w:sz w:val="32"/>
          <w:szCs w:val="32"/>
        </w:rPr>
        <w:t>是否参与2023年度开发区监测统计</w:t>
      </w:r>
      <w:r>
        <w:rPr>
          <w:rFonts w:hint="default" w:ascii="Times New Roman" w:hAnsi="Times New Roman" w:eastAsia="仿宋_GB2312" w:cs="Times New Roman"/>
          <w:sz w:val="32"/>
          <w:szCs w:val="32"/>
        </w:rPr>
        <w:t>”一栏补充完整（填写“是”或“否”），与市级联络人员信息登记表（附件3）于</w:t>
      </w:r>
      <w:r>
        <w:rPr>
          <w:rFonts w:hint="default" w:ascii="Times New Roman" w:hAnsi="Times New Roman" w:eastAsia="仿宋_GB2312" w:cs="Times New Roman"/>
          <w:b/>
          <w:bCs/>
          <w:sz w:val="32"/>
          <w:szCs w:val="32"/>
        </w:rPr>
        <w:t>2023年</w:t>
      </w:r>
      <w:r>
        <w:rPr>
          <w:rFonts w:hint="default" w:ascii="Times New Roman" w:hAnsi="Times New Roman" w:eastAsia="仿宋_GB2312" w:cs="Times New Roman"/>
          <w:b/>
          <w:bCs/>
          <w:sz w:val="32"/>
          <w:szCs w:val="32"/>
          <w:lang w:val="en-US" w:eastAsia="zh-CN"/>
        </w:rPr>
        <w:t>8</w:t>
      </w:r>
      <w:r>
        <w:rPr>
          <w:rFonts w:hint="default" w:ascii="Times New Roman" w:hAnsi="Times New Roman" w:eastAsia="仿宋_GB2312" w:cs="Times New Roman"/>
          <w:b/>
          <w:bCs/>
          <w:sz w:val="32"/>
          <w:szCs w:val="32"/>
        </w:rPr>
        <w:t>月</w:t>
      </w: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日</w:t>
      </w:r>
      <w:r>
        <w:rPr>
          <w:rFonts w:hint="default" w:ascii="Times New Roman" w:hAnsi="Times New Roman" w:eastAsia="仿宋_GB2312" w:cs="Times New Roman"/>
          <w:sz w:val="32"/>
          <w:szCs w:val="32"/>
        </w:rPr>
        <w:t>之前报送至工作邮箱。</w:t>
      </w:r>
    </w:p>
    <w:p>
      <w:pPr>
        <w:spacing w:line="560" w:lineRule="exact"/>
        <w:ind w:firstLine="640" w:firstLineChars="200"/>
        <w:rPr>
          <w:rFonts w:hint="default" w:ascii="Times New Roman" w:hAnsi="Times New Roman" w:eastAsia="仿宋_GB2312" w:cs="Times New Roman"/>
          <w:sz w:val="32"/>
          <w:szCs w:val="32"/>
          <w:lang w:val="en-US" w:eastAsia="zh-CN"/>
        </w:rPr>
      </w:pP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工作邮箱：fangfanggtt@shandong.cn</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技术交流群（QQ）：347757991</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联系人及联系方式：</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厅自然资源开发利用处  房  芳  0531-51791117</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山东省国土空间规划院  祝令聚  0531-67872753</w:t>
      </w:r>
    </w:p>
    <w:p>
      <w:pPr>
        <w:spacing w:line="560" w:lineRule="exact"/>
        <w:ind w:firstLine="640" w:firstLineChars="200"/>
        <w:rPr>
          <w:rFonts w:hint="default" w:ascii="Times New Roman" w:hAnsi="Times New Roman" w:eastAsia="仿宋_GB2312" w:cs="Times New Roman"/>
          <w:sz w:val="32"/>
          <w:szCs w:val="32"/>
        </w:rPr>
      </w:pPr>
    </w:p>
    <w:p>
      <w:pPr>
        <w:spacing w:line="560" w:lineRule="exact"/>
        <w:ind w:left="1918" w:leftChars="304" w:hanging="1280" w:hanging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附件：1.2023年度开发区土地集约利用监测统计技术方案</w:t>
      </w:r>
    </w:p>
    <w:p>
      <w:pPr>
        <w:spacing w:line="560" w:lineRule="exact"/>
        <w:ind w:left="1891" w:leftChars="302" w:hanging="1257" w:hangingChars="39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2.全省第一、二类产业园历年参评情况</w:t>
      </w:r>
    </w:p>
    <w:p>
      <w:pPr>
        <w:spacing w:line="560" w:lineRule="exact"/>
        <w:ind w:left="1893" w:leftChars="303" w:hanging="1257" w:hangingChars="39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3.市级联络人员信息登记表</w:t>
      </w:r>
    </w:p>
    <w:p>
      <w:pPr>
        <w:spacing w:line="560" w:lineRule="exact"/>
        <w:ind w:firstLine="640" w:firstLineChars="200"/>
        <w:rPr>
          <w:rFonts w:hint="default" w:ascii="Times New Roman" w:hAnsi="Times New Roman" w:eastAsia="仿宋_GB2312" w:cs="Times New Roman"/>
          <w:sz w:val="32"/>
          <w:szCs w:val="32"/>
        </w:rPr>
      </w:pPr>
    </w:p>
    <w:p>
      <w:pPr>
        <w:spacing w:line="560" w:lineRule="exact"/>
        <w:ind w:firstLine="640" w:firstLineChars="200"/>
        <w:rPr>
          <w:rFonts w:hint="default" w:ascii="Times New Roman" w:hAnsi="Times New Roman" w:eastAsia="仿宋_GB2312" w:cs="Times New Roman"/>
          <w:sz w:val="32"/>
          <w:szCs w:val="32"/>
        </w:rPr>
      </w:pPr>
    </w:p>
    <w:p>
      <w:pPr>
        <w:spacing w:line="560" w:lineRule="exact"/>
        <w:ind w:firstLine="2739" w:firstLineChars="856"/>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山东省自然资源厅办公室</w:t>
      </w:r>
    </w:p>
    <w:p>
      <w:pPr>
        <w:spacing w:line="560" w:lineRule="exact"/>
        <w:ind w:firstLine="2739" w:firstLineChars="856"/>
        <w:jc w:val="center"/>
        <w:rPr>
          <w:rFonts w:hint="default" w:ascii="Times New Roman" w:hAnsi="Times New Roman" w:eastAsia="仿宋_GB2312" w:cs="Times New Roman"/>
          <w:sz w:val="32"/>
          <w:szCs w:val="32"/>
        </w:rPr>
        <w:sectPr>
          <w:footerReference r:id="rId3" w:type="default"/>
          <w:pgSz w:w="11906" w:h="16838"/>
          <w:pgMar w:top="1440" w:right="1689" w:bottom="1440" w:left="1689" w:header="851" w:footer="992" w:gutter="0"/>
          <w:pgNumType w:fmt="numberInDash"/>
          <w:cols w:space="425" w:num="1"/>
          <w:docGrid w:type="lines" w:linePitch="312" w:charSpace="0"/>
        </w:sectPr>
      </w:pP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年7月</w:t>
      </w:r>
      <w:r>
        <w:rPr>
          <w:rFonts w:hint="default" w:ascii="Times New Roman" w:hAnsi="Times New Roman" w:eastAsia="仿宋_GB2312" w:cs="Times New Roman"/>
          <w:sz w:val="32"/>
          <w:szCs w:val="32"/>
          <w:lang w:val="en-US" w:eastAsia="zh-CN"/>
        </w:rPr>
        <w:t>31</w:t>
      </w:r>
      <w:r>
        <w:rPr>
          <w:rFonts w:hint="default" w:ascii="Times New Roman" w:hAnsi="Times New Roman" w:eastAsia="仿宋_GB2312" w:cs="Times New Roman"/>
          <w:sz w:val="32"/>
          <w:szCs w:val="32"/>
        </w:rPr>
        <w:t>日</w:t>
      </w:r>
    </w:p>
    <w:p>
      <w:pPr>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附件1</w:t>
      </w:r>
    </w:p>
    <w:p>
      <w:pPr>
        <w:pageBreakBefore w:val="0"/>
        <w:kinsoku/>
        <w:wordWrap/>
        <w:overflowPunct/>
        <w:topLinePunct w:val="0"/>
        <w:autoSpaceDE/>
        <w:autoSpaceDN/>
        <w:bidi w:val="0"/>
        <w:adjustRightInd/>
        <w:snapToGrid/>
        <w:spacing w:line="560" w:lineRule="exact"/>
        <w:jc w:val="left"/>
        <w:textAlignment w:val="auto"/>
        <w:rPr>
          <w:rFonts w:ascii="Times New Roman" w:hAnsi="Times New Roman" w:eastAsia="黑体" w:cs="Times New Roman"/>
          <w:sz w:val="32"/>
          <w:szCs w:val="32"/>
        </w:rPr>
      </w:pPr>
    </w:p>
    <w:p>
      <w:pPr>
        <w:keepNext w:val="0"/>
        <w:keepLines w:val="0"/>
        <w:pageBreakBefore w:val="0"/>
        <w:widowControl w:val="0"/>
        <w:kinsoku/>
        <w:wordWrap/>
        <w:overflowPunct/>
        <w:topLinePunct w:val="0"/>
        <w:autoSpaceDE/>
        <w:autoSpaceDN/>
        <w:bidi w:val="0"/>
        <w:adjustRightInd/>
        <w:snapToGrid/>
        <w:spacing w:before="313" w:beforeLines="100" w:line="560" w:lineRule="exact"/>
        <w:ind w:left="0" w:leftChars="0" w:firstLine="0" w:firstLineChars="0"/>
        <w:jc w:val="center"/>
        <w:textAlignment w:val="auto"/>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2023年度开发区土地集约利用监测统计</w:t>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firstLine="0" w:firstLineChars="0"/>
        <w:jc w:val="center"/>
        <w:textAlignment w:val="auto"/>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技术方案</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为保障202</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年度</w:t>
      </w:r>
      <w:r>
        <w:rPr>
          <w:rFonts w:hint="eastAsia" w:ascii="Times New Roman" w:hAnsi="Times New Roman" w:eastAsia="仿宋_GB2312" w:cs="Times New Roman"/>
          <w:sz w:val="32"/>
          <w:szCs w:val="32"/>
          <w:lang w:eastAsia="zh-CN"/>
        </w:rPr>
        <w:t>产业园</w:t>
      </w:r>
      <w:r>
        <w:rPr>
          <w:rFonts w:ascii="Times New Roman" w:hAnsi="Times New Roman" w:eastAsia="仿宋_GB2312" w:cs="Times New Roman"/>
          <w:sz w:val="32"/>
          <w:szCs w:val="32"/>
        </w:rPr>
        <w:t>土地集约利用监测统计（以下简称</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监测统计</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及产业园调查</w:t>
      </w:r>
      <w:r>
        <w:rPr>
          <w:rFonts w:ascii="Times New Roman" w:hAnsi="Times New Roman" w:eastAsia="仿宋_GB2312" w:cs="Times New Roman"/>
          <w:sz w:val="32"/>
          <w:szCs w:val="32"/>
        </w:rPr>
        <w:t>工作顺利开展，参照《开发区土地集约利用评价规程（2014年度试行）》（以下简称《规程》）及产业园用地情况总调查相关</w:t>
      </w:r>
      <w:r>
        <w:rPr>
          <w:rFonts w:hint="eastAsia" w:ascii="Times New Roman" w:hAnsi="Times New Roman" w:eastAsia="仿宋_GB2312" w:cs="Times New Roman"/>
          <w:sz w:val="32"/>
          <w:szCs w:val="32"/>
        </w:rPr>
        <w:t>规定</w:t>
      </w:r>
      <w:r>
        <w:rPr>
          <w:rFonts w:ascii="Times New Roman" w:hAnsi="Times New Roman" w:eastAsia="仿宋_GB2312" w:cs="Times New Roman"/>
          <w:sz w:val="32"/>
          <w:szCs w:val="32"/>
        </w:rPr>
        <w:t>，制定本方案。</w:t>
      </w:r>
    </w:p>
    <w:p>
      <w:pPr>
        <w:spacing w:line="560" w:lineRule="exact"/>
        <w:ind w:firstLine="640" w:firstLineChars="200"/>
        <w:rPr>
          <w:rFonts w:ascii="Times New Roman" w:hAnsi="Times New Roman" w:eastAsia="黑体" w:cs="Times New Roman"/>
          <w:sz w:val="32"/>
          <w:szCs w:val="32"/>
        </w:rPr>
      </w:pPr>
      <w:bookmarkStart w:id="0" w:name="_Toc27770"/>
      <w:r>
        <w:rPr>
          <w:rFonts w:ascii="Times New Roman" w:hAnsi="Times New Roman" w:eastAsia="黑体" w:cs="Times New Roman"/>
          <w:sz w:val="32"/>
          <w:szCs w:val="32"/>
        </w:rPr>
        <w:t>一、总体要求</w:t>
      </w:r>
      <w:bookmarkEnd w:id="0"/>
    </w:p>
    <w:p>
      <w:pPr>
        <w:spacing w:line="560" w:lineRule="exact"/>
        <w:ind w:firstLine="640" w:firstLineChars="200"/>
        <w:rPr>
          <w:rFonts w:ascii="Times New Roman" w:hAnsi="Times New Roman" w:eastAsia="楷体" w:cs="Times New Roman"/>
          <w:sz w:val="32"/>
          <w:szCs w:val="32"/>
        </w:rPr>
      </w:pPr>
      <w:bookmarkStart w:id="1" w:name="_Toc10419"/>
      <w:r>
        <w:rPr>
          <w:rFonts w:ascii="Times New Roman" w:hAnsi="Times New Roman" w:eastAsia="楷体" w:cs="Times New Roman"/>
          <w:sz w:val="32"/>
          <w:szCs w:val="32"/>
        </w:rPr>
        <w:t>（一）监测统计范围</w:t>
      </w:r>
      <w:bookmarkEnd w:id="1"/>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ascii="Times New Roman" w:hAnsi="Times New Roman" w:eastAsia="仿宋_GB2312" w:cs="仿宋_GB2312"/>
          <w:sz w:val="32"/>
          <w:szCs w:val="32"/>
        </w:rPr>
        <w:t>本轮监测统计范围为参评</w:t>
      </w:r>
      <w:r>
        <w:rPr>
          <w:rFonts w:hint="eastAsia" w:ascii="Times New Roman" w:hAnsi="Times New Roman" w:eastAsia="仿宋_GB2312" w:cs="仿宋_GB2312"/>
          <w:sz w:val="32"/>
          <w:szCs w:val="32"/>
        </w:rPr>
        <w:t>一类产业园</w:t>
      </w:r>
      <w:r>
        <w:rPr>
          <w:rFonts w:ascii="Times New Roman" w:hAnsi="Times New Roman" w:eastAsia="仿宋_GB2312" w:cs="仿宋_GB2312"/>
          <w:sz w:val="32"/>
          <w:szCs w:val="32"/>
        </w:rPr>
        <w:t>的</w:t>
      </w:r>
      <w:r>
        <w:rPr>
          <w:rFonts w:ascii="Times New Roman" w:hAnsi="Times New Roman" w:eastAsia="仿宋_GB2312" w:cs="仿宋_GB2312"/>
          <w:b/>
          <w:bCs/>
          <w:sz w:val="32"/>
          <w:szCs w:val="32"/>
        </w:rPr>
        <w:t>批准范围</w:t>
      </w:r>
      <w:r>
        <w:rPr>
          <w:rFonts w:ascii="Times New Roman" w:hAnsi="Times New Roman" w:eastAsia="仿宋_GB2312" w:cs="仿宋_GB2312"/>
          <w:sz w:val="32"/>
          <w:szCs w:val="32"/>
        </w:rPr>
        <w:t>和</w:t>
      </w:r>
      <w:r>
        <w:rPr>
          <w:rFonts w:ascii="Times New Roman" w:hAnsi="Times New Roman" w:eastAsia="仿宋_GB2312" w:cs="仿宋_GB2312"/>
          <w:b/>
          <w:bCs/>
          <w:sz w:val="32"/>
          <w:szCs w:val="32"/>
        </w:rPr>
        <w:t>实际管理范围</w:t>
      </w:r>
      <w:r>
        <w:rPr>
          <w:rFonts w:hint="eastAsia" w:ascii="Times New Roman" w:hAnsi="Times New Roman" w:eastAsia="仿宋_GB2312" w:cs="仿宋_GB2312"/>
          <w:sz w:val="32"/>
          <w:szCs w:val="32"/>
        </w:rPr>
        <w:t>、二</w:t>
      </w:r>
      <w:r>
        <w:rPr>
          <w:rFonts w:hint="eastAsia" w:ascii="Times New Roman" w:hAnsi="Times New Roman" w:eastAsia="仿宋_GB2312" w:cs="仿宋_GB2312"/>
          <w:sz w:val="32"/>
          <w:szCs w:val="32"/>
          <w:lang w:eastAsia="zh-CN"/>
        </w:rPr>
        <w:t>三</w:t>
      </w:r>
      <w:r>
        <w:rPr>
          <w:rFonts w:hint="eastAsia" w:ascii="Times New Roman" w:hAnsi="Times New Roman" w:eastAsia="仿宋_GB2312" w:cs="仿宋_GB2312"/>
          <w:sz w:val="32"/>
          <w:szCs w:val="32"/>
        </w:rPr>
        <w:t>类产业园的</w:t>
      </w:r>
      <w:r>
        <w:rPr>
          <w:rFonts w:ascii="Times New Roman" w:hAnsi="Times New Roman" w:eastAsia="仿宋_GB2312" w:cs="仿宋_GB2312"/>
          <w:b/>
          <w:bCs/>
          <w:sz w:val="32"/>
          <w:szCs w:val="32"/>
        </w:rPr>
        <w:t>实际管理范围</w:t>
      </w:r>
      <w:r>
        <w:rPr>
          <w:rFonts w:ascii="Times New Roman" w:hAnsi="Times New Roman" w:eastAsia="仿宋_GB2312" w:cs="仿宋_GB2312"/>
          <w:sz w:val="32"/>
          <w:szCs w:val="32"/>
        </w:rPr>
        <w:t>。其中，参评</w:t>
      </w:r>
      <w:r>
        <w:rPr>
          <w:rFonts w:hint="eastAsia" w:ascii="Times New Roman" w:hAnsi="Times New Roman" w:eastAsia="仿宋_GB2312" w:cs="仿宋_GB2312"/>
          <w:sz w:val="32"/>
          <w:szCs w:val="32"/>
        </w:rPr>
        <w:t>一类产业园</w:t>
      </w:r>
      <w:r>
        <w:rPr>
          <w:rFonts w:ascii="Times New Roman" w:hAnsi="Times New Roman" w:eastAsia="仿宋_GB2312" w:cs="仿宋_GB2312"/>
          <w:sz w:val="32"/>
          <w:szCs w:val="32"/>
        </w:rPr>
        <w:t>为纳入《中国开发区审核公告目录（2018年版）》（以下简称《目录》）的国家级和省级开发区，以及《目录》发布后依法依规新设立的国家级和省级开发区。</w:t>
      </w:r>
      <w:r>
        <w:rPr>
          <w:rFonts w:hint="eastAsia" w:ascii="Times New Roman" w:hAnsi="Times New Roman" w:eastAsia="仿宋_GB2312" w:cs="仿宋_GB2312"/>
          <w:sz w:val="32"/>
          <w:szCs w:val="32"/>
        </w:rPr>
        <w:t>二类产业园为除一类产业园外，由各级政府批准设立的产业聚集区域。</w:t>
      </w:r>
      <w:r>
        <w:rPr>
          <w:rFonts w:ascii="Times New Roman" w:hAnsi="Times New Roman" w:eastAsia="仿宋_GB2312" w:cs="仿宋_GB2312"/>
          <w:sz w:val="32"/>
          <w:szCs w:val="32"/>
        </w:rPr>
        <w:t>实际管理范围为包括批准范围在内的</w:t>
      </w:r>
      <w:r>
        <w:rPr>
          <w:rFonts w:hint="eastAsia" w:ascii="Times New Roman" w:hAnsi="Times New Roman" w:eastAsia="仿宋_GB2312" w:cs="仿宋_GB2312"/>
          <w:sz w:val="32"/>
          <w:szCs w:val="32"/>
        </w:rPr>
        <w:t>开发区</w:t>
      </w:r>
      <w:r>
        <w:rPr>
          <w:rFonts w:ascii="Times New Roman" w:hAnsi="Times New Roman" w:eastAsia="仿宋_GB2312" w:cs="仿宋_GB2312"/>
          <w:sz w:val="32"/>
          <w:szCs w:val="32"/>
        </w:rPr>
        <w:t>实际行使管理权限的范围（含代管</w:t>
      </w:r>
      <w:r>
        <w:rPr>
          <w:rFonts w:hint="eastAsia" w:ascii="Times New Roman" w:hAnsi="Times New Roman" w:eastAsia="仿宋_GB2312" w:cs="仿宋_GB2312"/>
          <w:sz w:val="32"/>
          <w:szCs w:val="32"/>
        </w:rPr>
        <w:t>区域</w:t>
      </w:r>
      <w:r>
        <w:rPr>
          <w:rFonts w:ascii="Times New Roman" w:hAnsi="Times New Roman" w:eastAsia="仿宋_GB2312" w:cs="仿宋_GB2312"/>
          <w:sz w:val="32"/>
          <w:szCs w:val="32"/>
        </w:rPr>
        <w:t>）。</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各</w:t>
      </w:r>
      <w:r>
        <w:rPr>
          <w:rFonts w:hint="eastAsia" w:ascii="Times New Roman" w:hAnsi="Times New Roman" w:eastAsia="仿宋_GB2312" w:cs="仿宋_GB2312"/>
          <w:sz w:val="32"/>
          <w:szCs w:val="32"/>
          <w:lang w:val="en-US" w:eastAsia="zh-CN"/>
        </w:rPr>
        <w:t>地市</w:t>
      </w:r>
      <w:r>
        <w:rPr>
          <w:rFonts w:hint="eastAsia" w:ascii="Times New Roman" w:hAnsi="Times New Roman" w:eastAsia="仿宋_GB2312" w:cs="仿宋_GB2312"/>
          <w:sz w:val="32"/>
          <w:szCs w:val="32"/>
        </w:rPr>
        <w:t>自愿组织开展三类产业园监测统计时，监测统计范围为实际管理范围，相关技术要求参照二类产业园执行。</w:t>
      </w:r>
    </w:p>
    <w:p>
      <w:pPr>
        <w:spacing w:line="560" w:lineRule="exact"/>
        <w:ind w:firstLine="640" w:firstLineChars="200"/>
        <w:rPr>
          <w:rFonts w:ascii="Times New Roman" w:hAnsi="Times New Roman" w:eastAsia="楷体" w:cs="Times New Roman"/>
          <w:sz w:val="32"/>
          <w:szCs w:val="32"/>
        </w:rPr>
      </w:pPr>
      <w:bookmarkStart w:id="2" w:name="_Toc10423"/>
      <w:r>
        <w:rPr>
          <w:rFonts w:ascii="Times New Roman" w:hAnsi="Times New Roman" w:eastAsia="楷体" w:cs="Times New Roman"/>
          <w:sz w:val="32"/>
          <w:szCs w:val="32"/>
        </w:rPr>
        <w:t>（二）工作内容与时点</w:t>
      </w:r>
      <w:bookmarkEnd w:id="2"/>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一类产业园：开展开发区土地集约利用</w:t>
      </w:r>
      <w:r>
        <w:rPr>
          <w:rFonts w:hint="eastAsia" w:ascii="Times New Roman" w:hAnsi="Times New Roman" w:eastAsia="仿宋_GB2312" w:cs="Times New Roman"/>
          <w:sz w:val="32"/>
          <w:szCs w:val="32"/>
          <w:lang w:eastAsia="zh-CN"/>
        </w:rPr>
        <w:t>监测统计</w:t>
      </w:r>
      <w:r>
        <w:rPr>
          <w:rFonts w:hint="eastAsia" w:ascii="Times New Roman" w:hAnsi="Times New Roman" w:eastAsia="仿宋_GB2312" w:cs="Times New Roman"/>
          <w:sz w:val="32"/>
          <w:szCs w:val="32"/>
        </w:rPr>
        <w:t>，完成</w:t>
      </w:r>
      <w:r>
        <w:rPr>
          <w:rFonts w:hint="eastAsia" w:ascii="Times New Roman" w:hAnsi="Times New Roman" w:eastAsia="仿宋_GB2312" w:cs="Times New Roman"/>
          <w:sz w:val="32"/>
          <w:szCs w:val="32"/>
          <w:lang w:eastAsia="zh-CN"/>
        </w:rPr>
        <w:t>土地利用</w:t>
      </w:r>
      <w:r>
        <w:rPr>
          <w:rFonts w:hint="eastAsia" w:ascii="Times New Roman" w:hAnsi="Times New Roman" w:eastAsia="仿宋_GB2312" w:cs="Times New Roman"/>
          <w:sz w:val="32"/>
          <w:szCs w:val="32"/>
        </w:rPr>
        <w:t>状况、用地效益、管理绩效和低效用地</w:t>
      </w:r>
      <w:r>
        <w:rPr>
          <w:rFonts w:hint="eastAsia" w:ascii="Times New Roman" w:hAnsi="Times New Roman" w:eastAsia="仿宋_GB2312" w:cs="Times New Roman"/>
          <w:sz w:val="32"/>
          <w:szCs w:val="32"/>
          <w:lang w:eastAsia="zh-CN"/>
        </w:rPr>
        <w:t>等</w:t>
      </w:r>
      <w:r>
        <w:rPr>
          <w:rFonts w:hint="eastAsia" w:ascii="Times New Roman" w:hAnsi="Times New Roman" w:eastAsia="仿宋_GB2312" w:cs="Times New Roman"/>
          <w:sz w:val="32"/>
          <w:szCs w:val="32"/>
        </w:rPr>
        <w:t>有关指标和数据调查</w:t>
      </w:r>
      <w:r>
        <w:rPr>
          <w:rFonts w:hint="eastAsia" w:ascii="Times New Roman" w:hAnsi="Times New Roman" w:eastAsia="仿宋_GB2312" w:cs="Times New Roman"/>
          <w:sz w:val="32"/>
          <w:szCs w:val="32"/>
          <w:lang w:eastAsia="zh-CN"/>
        </w:rPr>
        <w:t>，开展</w:t>
      </w:r>
      <w:r>
        <w:rPr>
          <w:rFonts w:hint="eastAsia" w:ascii="Times New Roman" w:hAnsi="Times New Roman" w:eastAsia="仿宋_GB2312" w:cs="Times New Roman"/>
          <w:sz w:val="32"/>
          <w:szCs w:val="32"/>
        </w:rPr>
        <w:t>开发区土地集约利用评价等工作，形成开发区土地集约利用数据库。</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二</w:t>
      </w:r>
      <w:r>
        <w:rPr>
          <w:rFonts w:hint="eastAsia" w:ascii="Times New Roman" w:hAnsi="Times New Roman" w:eastAsia="仿宋_GB2312" w:cs="Times New Roman"/>
          <w:sz w:val="32"/>
          <w:szCs w:val="32"/>
          <w:lang w:eastAsia="zh-CN"/>
        </w:rPr>
        <w:t>三</w:t>
      </w:r>
      <w:r>
        <w:rPr>
          <w:rFonts w:hint="eastAsia" w:ascii="Times New Roman" w:hAnsi="Times New Roman" w:eastAsia="仿宋_GB2312" w:cs="Times New Roman"/>
          <w:sz w:val="32"/>
          <w:szCs w:val="32"/>
        </w:rPr>
        <w:t>类产业园：搜集有关园区信息，</w:t>
      </w:r>
      <w:r>
        <w:rPr>
          <w:rFonts w:hint="eastAsia" w:ascii="Times New Roman" w:hAnsi="Times New Roman" w:eastAsia="仿宋_GB2312" w:cs="Times New Roman"/>
          <w:sz w:val="32"/>
          <w:szCs w:val="32"/>
          <w:lang w:eastAsia="zh-CN"/>
        </w:rPr>
        <w:t>完成</w:t>
      </w:r>
      <w:r>
        <w:rPr>
          <w:rFonts w:hint="eastAsia" w:ascii="Times New Roman" w:hAnsi="Times New Roman" w:eastAsia="仿宋_GB2312" w:cs="Times New Roman"/>
          <w:sz w:val="32"/>
          <w:szCs w:val="32"/>
        </w:rPr>
        <w:t>土地利用</w:t>
      </w:r>
      <w:r>
        <w:rPr>
          <w:rFonts w:hint="eastAsia" w:ascii="Times New Roman" w:hAnsi="Times New Roman" w:eastAsia="仿宋_GB2312" w:cs="Times New Roman"/>
          <w:sz w:val="32"/>
          <w:szCs w:val="32"/>
          <w:lang w:eastAsia="zh-CN"/>
        </w:rPr>
        <w:t>状况</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用地</w:t>
      </w:r>
      <w:r>
        <w:rPr>
          <w:rFonts w:hint="eastAsia" w:ascii="Times New Roman" w:hAnsi="Times New Roman" w:eastAsia="仿宋_GB2312" w:cs="Times New Roman"/>
          <w:sz w:val="32"/>
          <w:szCs w:val="32"/>
        </w:rPr>
        <w:t>效益</w:t>
      </w:r>
      <w:r>
        <w:rPr>
          <w:rFonts w:hint="eastAsia" w:ascii="Times New Roman" w:hAnsi="Times New Roman" w:eastAsia="仿宋_GB2312" w:cs="Times New Roman"/>
          <w:sz w:val="32"/>
          <w:szCs w:val="32"/>
          <w:lang w:eastAsia="zh-CN"/>
        </w:rPr>
        <w:t>、管理绩效</w:t>
      </w:r>
      <w:r>
        <w:rPr>
          <w:rFonts w:hint="eastAsia" w:ascii="Times New Roman" w:hAnsi="Times New Roman" w:eastAsia="仿宋_GB2312" w:cs="Times New Roman"/>
          <w:sz w:val="32"/>
          <w:szCs w:val="32"/>
        </w:rPr>
        <w:t>有关数据进行调查，并对园区用地状况进行分析。</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本轮监测统计时点统一为202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年12月31日。</w:t>
      </w:r>
    </w:p>
    <w:p>
      <w:pPr>
        <w:spacing w:line="560" w:lineRule="exact"/>
        <w:ind w:firstLine="640" w:firstLineChars="200"/>
        <w:rPr>
          <w:rFonts w:ascii="Times New Roman" w:hAnsi="Times New Roman" w:eastAsia="楷体" w:cs="Times New Roman"/>
          <w:sz w:val="32"/>
          <w:szCs w:val="32"/>
        </w:rPr>
      </w:pPr>
      <w:bookmarkStart w:id="3" w:name="_Toc31763"/>
      <w:r>
        <w:rPr>
          <w:rFonts w:ascii="Times New Roman" w:hAnsi="Times New Roman" w:eastAsia="楷体" w:cs="Times New Roman"/>
          <w:sz w:val="32"/>
          <w:szCs w:val="32"/>
        </w:rPr>
        <w:t>（三）相关技术约定。</w:t>
      </w:r>
      <w:bookmarkEnd w:id="3"/>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1.为保证工作的整体性和连续性，监测统计应充分利用</w:t>
      </w:r>
      <w:r>
        <w:rPr>
          <w:rFonts w:hint="eastAsia" w:ascii="Times New Roman" w:hAnsi="Times New Roman" w:eastAsia="仿宋_GB2312" w:cs="Times New Roman"/>
          <w:sz w:val="32"/>
          <w:szCs w:val="32"/>
        </w:rPr>
        <w:t>以往调查评价成果</w:t>
      </w:r>
      <w:r>
        <w:rPr>
          <w:rFonts w:ascii="Times New Roman" w:hAnsi="Times New Roman" w:eastAsia="仿宋_GB2312" w:cs="Times New Roman"/>
          <w:sz w:val="32"/>
          <w:szCs w:val="32"/>
        </w:rPr>
        <w:t>，在202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w:t>
      </w:r>
      <w:r>
        <w:rPr>
          <w:rFonts w:hint="eastAsia" w:ascii="Times New Roman" w:hAnsi="Times New Roman" w:eastAsia="仿宋_GB2312" w:cs="Times New Roman"/>
          <w:sz w:val="32"/>
          <w:szCs w:val="32"/>
        </w:rPr>
        <w:t>工作</w:t>
      </w:r>
      <w:r>
        <w:rPr>
          <w:rFonts w:ascii="Times New Roman" w:hAnsi="Times New Roman" w:eastAsia="仿宋_GB2312" w:cs="Times New Roman"/>
          <w:sz w:val="32"/>
          <w:szCs w:val="32"/>
        </w:rPr>
        <w:t>基础上开展。开发区评价类型应与202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年度保持一致。</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2.监测统计中采用的</w:t>
      </w:r>
      <w:r>
        <w:rPr>
          <w:rFonts w:hint="eastAsia" w:ascii="Times New Roman" w:hAnsi="Times New Roman" w:eastAsia="仿宋_GB2312" w:cs="Times New Roman"/>
          <w:sz w:val="32"/>
          <w:szCs w:val="32"/>
        </w:rPr>
        <w:t>土地</w:t>
      </w:r>
      <w:r>
        <w:rPr>
          <w:rFonts w:ascii="Times New Roman" w:hAnsi="Times New Roman" w:eastAsia="仿宋_GB2312" w:cs="Times New Roman"/>
          <w:sz w:val="32"/>
          <w:szCs w:val="32"/>
        </w:rPr>
        <w:t>、人口、经济等数据应与开发区</w:t>
      </w:r>
      <w:r>
        <w:rPr>
          <w:rFonts w:hint="eastAsia" w:ascii="Times New Roman" w:hAnsi="Times New Roman" w:eastAsia="仿宋_GB2312" w:cs="Times New Roman"/>
          <w:sz w:val="32"/>
          <w:szCs w:val="32"/>
          <w:lang w:eastAsia="zh-CN"/>
        </w:rPr>
        <w:t>监测统计</w:t>
      </w:r>
      <w:r>
        <w:rPr>
          <w:rFonts w:ascii="Times New Roman" w:hAnsi="Times New Roman" w:eastAsia="仿宋_GB2312" w:cs="Times New Roman"/>
          <w:sz w:val="32"/>
          <w:szCs w:val="32"/>
        </w:rPr>
        <w:t>范围相对应。各类数据的口径、来源、处理方式、计量单位等应符合《规程》相关要求。</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3.除特殊说明外，本方案中涉及的基本概念、用地分类与定义、指标内涵等与《规程》一致。</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低效工矿仓储用地认定，参考《国土资源部关于印发&lt;关于深入推进城镇低效用地再开发的指导意见（试行）&gt;的通知》（国土资发〔2016〕147号）》文件要求，对开发区工矿仓储用地有以下情形之一的，认定为低效利用土地。①已供应但长期未动工或已动工开发建设但长期停工，且未达到闲置土地认定标准。②已建成但厂房废弃或由于经营管理不善等原因，企业处于停产、半停产状态。③已建成地块集约利用程度不高，容积率达不到约定要求或明显低于规划要求</w:t>
      </w:r>
      <w:r>
        <w:rPr>
          <w:rFonts w:hint="eastAsia" w:ascii="仿宋_GB2312" w:hAnsi="仿宋_GB2312" w:eastAsia="仿宋_GB2312" w:cs="仿宋_GB2312"/>
          <w:sz w:val="28"/>
          <w:szCs w:val="28"/>
          <w:lang w:val="en-US" w:eastAsia="zh-CN"/>
        </w:rPr>
        <w:t>，</w:t>
      </w:r>
      <w:r>
        <w:rPr>
          <w:rFonts w:hint="eastAsia" w:ascii="Times New Roman" w:hAnsi="Times New Roman" w:eastAsia="仿宋_GB2312" w:cs="Times New Roman"/>
          <w:sz w:val="32"/>
          <w:szCs w:val="32"/>
          <w:lang w:val="en-US" w:eastAsia="zh-CN"/>
        </w:rPr>
        <w:t xml:space="preserve">且未达到闲置土地认定标准。④已建成地块用地效益低下，建设项目投资强度达不到约定要求或建设项目竣工投产后工业用地地均税收偏低，且未达到闲置土地认定标准。 </w:t>
      </w:r>
    </w:p>
    <w:p>
      <w:pPr>
        <w:spacing w:line="560" w:lineRule="exact"/>
        <w:ind w:firstLine="640" w:firstLineChars="200"/>
        <w:rPr>
          <w:rFonts w:ascii="Times New Roman" w:hAnsi="Times New Roman" w:eastAsia="黑体" w:cs="Times New Roman"/>
          <w:sz w:val="32"/>
          <w:szCs w:val="32"/>
        </w:rPr>
      </w:pPr>
      <w:bookmarkStart w:id="4" w:name="_Toc29560"/>
      <w:r>
        <w:rPr>
          <w:rFonts w:ascii="Times New Roman" w:hAnsi="Times New Roman" w:eastAsia="黑体" w:cs="Times New Roman"/>
          <w:sz w:val="32"/>
          <w:szCs w:val="32"/>
        </w:rPr>
        <w:t>二、</w:t>
      </w:r>
      <w:r>
        <w:rPr>
          <w:rFonts w:hint="eastAsia" w:ascii="Times New Roman" w:hAnsi="Times New Roman" w:eastAsia="黑体" w:cs="Times New Roman"/>
          <w:sz w:val="32"/>
          <w:szCs w:val="32"/>
        </w:rPr>
        <w:t>开发区</w:t>
      </w:r>
      <w:r>
        <w:rPr>
          <w:rFonts w:ascii="Times New Roman" w:hAnsi="Times New Roman" w:eastAsia="黑体" w:cs="Times New Roman"/>
          <w:sz w:val="32"/>
          <w:szCs w:val="32"/>
        </w:rPr>
        <w:t>土地集约利用数据收集</w:t>
      </w:r>
      <w:bookmarkEnd w:id="4"/>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lang w:val="en-US" w:eastAsia="zh-CN"/>
        </w:rPr>
        <w:t>地市</w:t>
      </w:r>
      <w:r>
        <w:rPr>
          <w:rFonts w:ascii="Times New Roman" w:hAnsi="Times New Roman" w:eastAsia="仿宋_GB2312" w:cs="Times New Roman"/>
          <w:sz w:val="32"/>
          <w:szCs w:val="32"/>
        </w:rPr>
        <w:t>自然资源主管部门应组织</w:t>
      </w:r>
      <w:r>
        <w:rPr>
          <w:rFonts w:hint="eastAsia" w:ascii="Times New Roman" w:hAnsi="Times New Roman" w:eastAsia="仿宋_GB2312" w:cs="Times New Roman"/>
          <w:sz w:val="32"/>
          <w:szCs w:val="32"/>
        </w:rPr>
        <w:t>参评开发区</w:t>
      </w:r>
      <w:r>
        <w:rPr>
          <w:rFonts w:ascii="Times New Roman" w:hAnsi="Times New Roman" w:eastAsia="仿宋_GB2312" w:cs="Times New Roman"/>
          <w:sz w:val="32"/>
          <w:szCs w:val="32"/>
        </w:rPr>
        <w:t>按照附</w:t>
      </w:r>
      <w:r>
        <w:rPr>
          <w:rFonts w:hint="eastAsia" w:ascii="Times New Roman" w:hAnsi="Times New Roman" w:eastAsia="仿宋_GB2312" w:cs="Times New Roman"/>
          <w:sz w:val="32"/>
          <w:szCs w:val="32"/>
        </w:rPr>
        <w:t>件</w:t>
      </w:r>
      <w:r>
        <w:rPr>
          <w:rFonts w:hint="eastAsia" w:ascii="Times New Roman" w:hAnsi="Times New Roman" w:eastAsia="仿宋_GB2312" w:cs="Times New Roman"/>
          <w:sz w:val="32"/>
          <w:szCs w:val="32"/>
          <w:lang w:val="en-US" w:eastAsia="zh-CN"/>
        </w:rPr>
        <w:t>A</w:t>
      </w:r>
      <w:r>
        <w:rPr>
          <w:rFonts w:ascii="Times New Roman" w:hAnsi="Times New Roman" w:eastAsia="仿宋_GB2312" w:cs="Times New Roman"/>
          <w:sz w:val="32"/>
          <w:szCs w:val="32"/>
        </w:rPr>
        <w:t>的要求填报基础数据表，并汇交至省</w:t>
      </w:r>
      <w:r>
        <w:rPr>
          <w:rFonts w:hint="eastAsia" w:ascii="Times New Roman" w:hAnsi="Times New Roman" w:eastAsia="仿宋_GB2312" w:cs="Times New Roman"/>
          <w:sz w:val="32"/>
          <w:szCs w:val="32"/>
          <w:lang w:val="en-US" w:eastAsia="zh-CN"/>
        </w:rPr>
        <w:t>国土空间规划院</w:t>
      </w:r>
      <w:r>
        <w:rPr>
          <w:rFonts w:ascii="Times New Roman" w:hAnsi="Times New Roman" w:eastAsia="仿宋_GB2312" w:cs="Times New Roman"/>
          <w:sz w:val="32"/>
          <w:szCs w:val="32"/>
        </w:rPr>
        <w:t>。</w:t>
      </w:r>
    </w:p>
    <w:p>
      <w:pPr>
        <w:spacing w:line="560" w:lineRule="exact"/>
        <w:ind w:firstLine="640" w:firstLineChars="200"/>
        <w:rPr>
          <w:rFonts w:hint="eastAsia" w:ascii="Times New Roman" w:hAnsi="Times New Roman" w:eastAsia="楷体" w:cs="Times New Roman"/>
          <w:sz w:val="32"/>
          <w:szCs w:val="32"/>
          <w:lang w:eastAsia="zh-CN"/>
        </w:rPr>
      </w:pPr>
      <w:bookmarkStart w:id="5" w:name="_Toc13772"/>
      <w:r>
        <w:rPr>
          <w:rFonts w:ascii="Times New Roman" w:hAnsi="Times New Roman" w:eastAsia="楷体" w:cs="Times New Roman"/>
          <w:sz w:val="32"/>
          <w:szCs w:val="32"/>
        </w:rPr>
        <w:t>（一）工作准备</w:t>
      </w:r>
      <w:bookmarkEnd w:id="5"/>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收集、整理</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年度工作成果数据，</w:t>
      </w:r>
      <w:r>
        <w:rPr>
          <w:rFonts w:hint="eastAsia" w:ascii="Times New Roman" w:hAnsi="Times New Roman" w:eastAsia="仿宋_GB2312" w:cs="Times New Roman"/>
          <w:sz w:val="32"/>
          <w:szCs w:val="32"/>
          <w:lang w:eastAsia="zh-CN"/>
        </w:rPr>
        <w:t>“三区三线”划定成果</w:t>
      </w:r>
      <w:r>
        <w:rPr>
          <w:rFonts w:ascii="Times New Roman" w:hAnsi="Times New Roman" w:eastAsia="仿宋_GB2312" w:cs="Times New Roman"/>
          <w:sz w:val="32"/>
          <w:szCs w:val="32"/>
        </w:rPr>
        <w:t>以及截至监测统计时点或202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年全年</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经济社会发展和土地利用状况的统计年报或报表、经济社会普查、国土调查、土地供应等成果及资料</w:t>
      </w:r>
      <w:r>
        <w:rPr>
          <w:rFonts w:hint="eastAsia" w:ascii="Times New Roman" w:hAnsi="Times New Roman" w:eastAsia="仿宋_GB2312" w:cs="Times New Roman"/>
          <w:sz w:val="32"/>
          <w:szCs w:val="32"/>
          <w:lang w:eastAsia="zh-CN"/>
        </w:rPr>
        <w:t>，制定</w:t>
      </w:r>
      <w:r>
        <w:rPr>
          <w:rFonts w:hint="eastAsia" w:ascii="Times New Roman" w:hAnsi="Times New Roman" w:eastAsia="仿宋_GB2312" w:cs="Times New Roman"/>
          <w:sz w:val="32"/>
          <w:szCs w:val="32"/>
          <w:lang w:val="en-US" w:eastAsia="zh-CN"/>
        </w:rPr>
        <w:t>市内</w:t>
      </w:r>
      <w:r>
        <w:rPr>
          <w:rFonts w:hint="eastAsia" w:ascii="Times New Roman" w:hAnsi="Times New Roman" w:eastAsia="仿宋_GB2312" w:cs="Times New Roman"/>
          <w:sz w:val="32"/>
          <w:szCs w:val="32"/>
          <w:lang w:eastAsia="zh-CN"/>
        </w:rPr>
        <w:t>低效工矿仓储用地认定标准</w:t>
      </w:r>
      <w:r>
        <w:rPr>
          <w:rFonts w:ascii="Times New Roman" w:hAnsi="Times New Roman" w:eastAsia="仿宋_GB2312" w:cs="Times New Roman"/>
          <w:sz w:val="32"/>
          <w:szCs w:val="32"/>
        </w:rPr>
        <w:t>。</w:t>
      </w:r>
    </w:p>
    <w:p>
      <w:pPr>
        <w:spacing w:line="560" w:lineRule="exact"/>
        <w:ind w:firstLine="640" w:firstLineChars="200"/>
        <w:rPr>
          <w:rFonts w:ascii="Times New Roman" w:hAnsi="Times New Roman" w:eastAsia="楷体" w:cs="Times New Roman"/>
          <w:sz w:val="32"/>
          <w:szCs w:val="32"/>
        </w:rPr>
      </w:pPr>
      <w:bookmarkStart w:id="6" w:name="_Toc15998"/>
      <w:r>
        <w:rPr>
          <w:rFonts w:ascii="Times New Roman" w:hAnsi="Times New Roman" w:eastAsia="楷体" w:cs="Times New Roman"/>
          <w:sz w:val="32"/>
          <w:szCs w:val="32"/>
        </w:rPr>
        <w:t>（二）</w:t>
      </w:r>
      <w:r>
        <w:rPr>
          <w:rFonts w:hint="eastAsia" w:ascii="Times New Roman" w:hAnsi="Times New Roman" w:eastAsia="楷体" w:cs="Times New Roman"/>
          <w:sz w:val="32"/>
          <w:szCs w:val="32"/>
        </w:rPr>
        <w:t>开发区</w:t>
      </w:r>
      <w:r>
        <w:rPr>
          <w:rFonts w:ascii="Times New Roman" w:hAnsi="Times New Roman" w:eastAsia="楷体" w:cs="Times New Roman"/>
          <w:sz w:val="32"/>
          <w:szCs w:val="32"/>
        </w:rPr>
        <w:t>数据收集填报</w:t>
      </w:r>
      <w:bookmarkEnd w:id="6"/>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主要对参评</w:t>
      </w:r>
      <w:r>
        <w:rPr>
          <w:rFonts w:hint="eastAsia" w:ascii="Times New Roman" w:hAnsi="Times New Roman" w:eastAsia="仿宋_GB2312" w:cs="Times New Roman"/>
          <w:sz w:val="32"/>
          <w:szCs w:val="32"/>
        </w:rPr>
        <w:t>开发区监测统计</w:t>
      </w:r>
      <w:r>
        <w:rPr>
          <w:rFonts w:ascii="Times New Roman" w:hAnsi="Times New Roman" w:eastAsia="仿宋_GB2312" w:cs="Times New Roman"/>
          <w:sz w:val="32"/>
          <w:szCs w:val="32"/>
        </w:rPr>
        <w:t>范围内的土地利用、社会经济、建筑工程等状况信息进行收集和填报。以地籍、调查、供地、统计</w:t>
      </w:r>
      <w:r>
        <w:rPr>
          <w:rFonts w:hint="eastAsia" w:ascii="Times New Roman" w:hAnsi="Times New Roman" w:eastAsia="仿宋_GB2312" w:cs="Times New Roman"/>
          <w:sz w:val="32"/>
          <w:szCs w:val="32"/>
          <w:lang w:eastAsia="zh-CN"/>
        </w:rPr>
        <w:t>、规划</w:t>
      </w:r>
      <w:r>
        <w:rPr>
          <w:rFonts w:ascii="Times New Roman" w:hAnsi="Times New Roman" w:eastAsia="仿宋_GB2312" w:cs="Times New Roman"/>
          <w:sz w:val="32"/>
          <w:szCs w:val="32"/>
        </w:rPr>
        <w:t>等数据和资料为主，必要时可参照遥感影像或进行实地调查。</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bookmarkStart w:id="7" w:name="_Toc16264"/>
      <w:bookmarkStart w:id="8" w:name="_Toc6604"/>
      <w:r>
        <w:rPr>
          <w:rFonts w:ascii="Times New Roman" w:hAnsi="Times New Roman" w:eastAsia="仿宋_GB2312" w:cs="Times New Roman"/>
          <w:sz w:val="32"/>
          <w:szCs w:val="32"/>
          <w:lang w:val="en-US" w:eastAsia="zh-CN"/>
        </w:rPr>
        <w:t>1.土地利用状况数据</w:t>
      </w:r>
      <w:bookmarkEnd w:id="7"/>
      <w:bookmarkEnd w:id="8"/>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（1）结合第三次国土调查</w:t>
      </w:r>
      <w:r>
        <w:rPr>
          <w:rFonts w:hint="eastAsia" w:ascii="Times New Roman" w:hAnsi="Times New Roman" w:eastAsia="仿宋_GB2312" w:cs="Times New Roman"/>
          <w:sz w:val="32"/>
          <w:szCs w:val="32"/>
        </w:rPr>
        <w:t>及</w:t>
      </w:r>
      <w:r>
        <w:rPr>
          <w:rFonts w:ascii="Times New Roman" w:hAnsi="Times New Roman" w:eastAsia="仿宋_GB2312" w:cs="Times New Roman"/>
          <w:sz w:val="32"/>
          <w:szCs w:val="32"/>
        </w:rPr>
        <w:t>变更调查、地籍调查、土地征收、经依法批准的国土空间规划（包括原土地利用总体规划、城乡规划等）</w:t>
      </w:r>
      <w:r>
        <w:rPr>
          <w:rFonts w:hint="eastAsia" w:ascii="Times New Roman" w:hAnsi="Times New Roman" w:eastAsia="仿宋_GB2312" w:cs="Times New Roman"/>
          <w:sz w:val="32"/>
          <w:szCs w:val="32"/>
          <w:lang w:eastAsia="zh-CN"/>
        </w:rPr>
        <w:t>、“三区三线”划定成果</w:t>
      </w:r>
      <w:r>
        <w:rPr>
          <w:rFonts w:ascii="Times New Roman" w:hAnsi="Times New Roman" w:eastAsia="仿宋_GB2312" w:cs="Times New Roman"/>
          <w:sz w:val="32"/>
          <w:szCs w:val="32"/>
        </w:rPr>
        <w:t>等资料和图件，</w:t>
      </w:r>
      <w:r>
        <w:rPr>
          <w:rFonts w:hint="eastAsia" w:ascii="Times New Roman" w:hAnsi="Times New Roman" w:eastAsia="仿宋_GB2312" w:cs="Times New Roman"/>
          <w:sz w:val="32"/>
          <w:szCs w:val="32"/>
          <w:lang w:eastAsia="zh-CN"/>
        </w:rPr>
        <w:t>分别</w:t>
      </w:r>
      <w:r>
        <w:rPr>
          <w:rFonts w:ascii="Times New Roman" w:hAnsi="Times New Roman" w:eastAsia="仿宋_GB2312" w:cs="Times New Roman"/>
          <w:sz w:val="32"/>
          <w:szCs w:val="32"/>
        </w:rPr>
        <w:t>统计</w:t>
      </w:r>
      <w:r>
        <w:rPr>
          <w:rFonts w:hint="eastAsia" w:ascii="Times New Roman" w:hAnsi="Times New Roman" w:eastAsia="仿宋_GB2312" w:cs="Times New Roman"/>
          <w:sz w:val="32"/>
          <w:szCs w:val="32"/>
          <w:lang w:eastAsia="zh-CN"/>
        </w:rPr>
        <w:t>开发区范围和开发区位于城镇开发边界范围内的</w:t>
      </w:r>
      <w:r>
        <w:rPr>
          <w:rFonts w:ascii="Times New Roman" w:hAnsi="Times New Roman" w:eastAsia="仿宋_GB2312" w:cs="Times New Roman"/>
          <w:sz w:val="32"/>
          <w:szCs w:val="32"/>
        </w:rPr>
        <w:t>规划建设用地面积、</w:t>
      </w:r>
      <w:r>
        <w:rPr>
          <w:rFonts w:hint="eastAsia" w:ascii="Times New Roman" w:hAnsi="Times New Roman" w:eastAsia="仿宋_GB2312" w:cs="Times New Roman"/>
          <w:sz w:val="32"/>
          <w:szCs w:val="32"/>
        </w:rPr>
        <w:t>已批准征收土地面积、已批准转用土地面积、</w:t>
      </w:r>
      <w:r>
        <w:rPr>
          <w:rFonts w:ascii="Times New Roman" w:hAnsi="Times New Roman" w:eastAsia="仿宋_GB2312" w:cs="Times New Roman"/>
          <w:sz w:val="32"/>
          <w:szCs w:val="32"/>
        </w:rPr>
        <w:t>已达到供地条件土地面积、已建成城镇建设用地面积、工矿仓储用地面积</w:t>
      </w:r>
      <w:r>
        <w:rPr>
          <w:rFonts w:hint="eastAsia" w:ascii="Times New Roman" w:hAnsi="Times New Roman" w:eastAsia="仿宋_GB2312" w:cs="Times New Roman"/>
          <w:sz w:val="32"/>
          <w:szCs w:val="32"/>
        </w:rPr>
        <w:t>、住宅用地面积</w:t>
      </w:r>
      <w:r>
        <w:rPr>
          <w:rFonts w:ascii="Times New Roman" w:hAnsi="Times New Roman" w:eastAsia="仿宋_GB2312" w:cs="Times New Roman"/>
          <w:sz w:val="32"/>
          <w:szCs w:val="32"/>
        </w:rPr>
        <w:t>等。开发区批准范围土地总面积应与202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年度保持一致，因扩区、核减等原因发生变化的，应予以说明并提供相关审批文件。不可建设土地面积应与202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年度保持一致，因规划等原因确需调整的，应提交相关证明材料。</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（2）根据土地供应资料</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图件</w:t>
      </w:r>
      <w:r>
        <w:rPr>
          <w:rFonts w:hint="eastAsia" w:ascii="Times New Roman" w:hAnsi="Times New Roman" w:eastAsia="仿宋_GB2312" w:cs="Times New Roman"/>
          <w:sz w:val="32"/>
          <w:szCs w:val="32"/>
          <w:lang w:eastAsia="zh-CN"/>
        </w:rPr>
        <w:t>和“三区三线”划定成果</w:t>
      </w:r>
      <w:r>
        <w:rPr>
          <w:rFonts w:ascii="Times New Roman" w:hAnsi="Times New Roman" w:eastAsia="仿宋_GB2312" w:cs="Times New Roman"/>
          <w:sz w:val="32"/>
          <w:szCs w:val="32"/>
        </w:rPr>
        <w:t>，开展土地供应状况数据收集，</w:t>
      </w:r>
      <w:r>
        <w:rPr>
          <w:rFonts w:hint="eastAsia" w:ascii="Times New Roman" w:hAnsi="Times New Roman" w:eastAsia="仿宋_GB2312" w:cs="Times New Roman"/>
          <w:sz w:val="32"/>
          <w:szCs w:val="32"/>
          <w:lang w:eastAsia="zh-CN"/>
        </w:rPr>
        <w:t>分别统计开发区范围和开发区位于城镇开发边界范围内的已供应国有建设用地面积和批而未供土地面积。</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（3）针对</w:t>
      </w:r>
      <w:r>
        <w:rPr>
          <w:rFonts w:hint="eastAsia" w:ascii="Times New Roman" w:hAnsi="Times New Roman" w:eastAsia="仿宋_GB2312" w:cs="Times New Roman"/>
          <w:sz w:val="32"/>
          <w:szCs w:val="32"/>
        </w:rPr>
        <w:t>监测统计</w:t>
      </w:r>
      <w:r>
        <w:rPr>
          <w:rFonts w:ascii="Times New Roman" w:hAnsi="Times New Roman" w:eastAsia="仿宋_GB2312" w:cs="Times New Roman"/>
          <w:sz w:val="32"/>
          <w:szCs w:val="32"/>
        </w:rPr>
        <w:t>范围内已供应国有建设用地，</w:t>
      </w:r>
      <w:r>
        <w:rPr>
          <w:rFonts w:hint="eastAsia" w:ascii="Times New Roman" w:hAnsi="Times New Roman" w:eastAsia="仿宋_GB2312" w:cs="Times New Roman"/>
          <w:sz w:val="32"/>
          <w:szCs w:val="32"/>
          <w:lang w:eastAsia="zh-CN"/>
        </w:rPr>
        <w:t>分别</w:t>
      </w:r>
      <w:r>
        <w:rPr>
          <w:rFonts w:hint="eastAsia" w:ascii="Times New Roman" w:hAnsi="Times New Roman" w:eastAsia="仿宋_GB2312" w:cs="Times New Roman"/>
          <w:sz w:val="32"/>
          <w:szCs w:val="32"/>
        </w:rPr>
        <w:t>统计</w:t>
      </w:r>
      <w:r>
        <w:rPr>
          <w:rFonts w:hint="eastAsia" w:ascii="Times New Roman" w:hAnsi="Times New Roman" w:eastAsia="仿宋_GB2312" w:cs="Times New Roman"/>
          <w:sz w:val="32"/>
          <w:szCs w:val="32"/>
          <w:lang w:eastAsia="zh-CN"/>
        </w:rPr>
        <w:t>开发区范围和开发区位于城镇开发边界范围内的</w:t>
      </w:r>
      <w:r>
        <w:rPr>
          <w:rFonts w:ascii="Times New Roman" w:hAnsi="Times New Roman" w:eastAsia="仿宋_GB2312" w:cs="Times New Roman"/>
          <w:sz w:val="32"/>
          <w:szCs w:val="32"/>
        </w:rPr>
        <w:t>闲置土地面积。闲置土地面积数据应来源于土地市场动态监测与监管系统。</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bookmarkStart w:id="9" w:name="_Toc25803"/>
      <w:bookmarkStart w:id="10" w:name="_Toc14947"/>
      <w:r>
        <w:rPr>
          <w:rFonts w:ascii="Times New Roman" w:hAnsi="Times New Roman" w:eastAsia="仿宋_GB2312" w:cs="Times New Roman"/>
          <w:sz w:val="32"/>
          <w:szCs w:val="32"/>
        </w:rPr>
        <w:t>2.社会经济状况数据</w:t>
      </w:r>
      <w:bookmarkEnd w:id="9"/>
      <w:bookmarkEnd w:id="10"/>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根据经济社会发展统计年报、快报、相关报表、数据汇编、年鉴等资料，收集</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常住人口、二三产业税收总额、工业（物流）企业固定资产投资额、工业（物流）企业总收入、工业（物流）企业税收总额等数据。</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bookmarkStart w:id="11" w:name="_Toc313"/>
      <w:bookmarkStart w:id="12" w:name="_Toc18697"/>
      <w:r>
        <w:rPr>
          <w:rFonts w:ascii="Times New Roman" w:hAnsi="Times New Roman" w:eastAsia="仿宋_GB2312" w:cs="Times New Roman"/>
          <w:sz w:val="32"/>
          <w:szCs w:val="32"/>
        </w:rPr>
        <w:t>3.建筑工程状况数据</w:t>
      </w:r>
      <w:bookmarkEnd w:id="11"/>
      <w:bookmarkEnd w:id="12"/>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结合遥感影像、地籍调查、工程竣工验收文件等资料，统计监测统计范围</w:t>
      </w:r>
      <w:r>
        <w:rPr>
          <w:rFonts w:hint="eastAsia" w:ascii="Times New Roman" w:hAnsi="Times New Roman" w:eastAsia="仿宋_GB2312" w:cs="Times New Roman"/>
          <w:sz w:val="32"/>
          <w:szCs w:val="32"/>
          <w:lang w:eastAsia="zh-CN"/>
        </w:rPr>
        <w:t>内</w:t>
      </w:r>
      <w:r>
        <w:rPr>
          <w:rFonts w:ascii="Times New Roman" w:hAnsi="Times New Roman" w:eastAsia="仿宋_GB2312" w:cs="Times New Roman"/>
          <w:sz w:val="32"/>
          <w:szCs w:val="32"/>
        </w:rPr>
        <w:t>已建成城镇建设用地的建筑面积、已建成城镇建设用地的建筑基底面积、工矿仓储用地的建筑面积、工矿仓储用地的建筑物构筑物基底（含露天堆场和露天操作场地）面积等。</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4.低效工矿仓储用地数据</w:t>
      </w:r>
    </w:p>
    <w:p>
      <w:pPr>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充分利用省内城镇低效用地再开发相关成果，结合相关规划、行业清单、土地供应与建设状况、企业投入产出数据等，分别</w:t>
      </w:r>
      <w:r>
        <w:rPr>
          <w:rFonts w:hint="eastAsia" w:ascii="Times New Roman" w:hAnsi="Times New Roman" w:eastAsia="仿宋_GB2312" w:cs="Times New Roman"/>
          <w:sz w:val="32"/>
          <w:szCs w:val="32"/>
        </w:rPr>
        <w:t>统计</w:t>
      </w:r>
      <w:r>
        <w:rPr>
          <w:rFonts w:hint="eastAsia" w:ascii="Times New Roman" w:hAnsi="Times New Roman" w:eastAsia="仿宋_GB2312" w:cs="Times New Roman"/>
          <w:sz w:val="32"/>
          <w:szCs w:val="32"/>
          <w:lang w:eastAsia="zh-CN"/>
        </w:rPr>
        <w:t>开发区范围和开发区位于城镇开发边界范围内的低效工矿仓储用地</w:t>
      </w:r>
      <w:r>
        <w:rPr>
          <w:rFonts w:ascii="Times New Roman" w:hAnsi="Times New Roman" w:eastAsia="仿宋_GB2312" w:cs="Times New Roman"/>
          <w:sz w:val="32"/>
          <w:szCs w:val="32"/>
        </w:rPr>
        <w:t>面积</w:t>
      </w:r>
      <w:r>
        <w:rPr>
          <w:rFonts w:hint="eastAsia" w:ascii="Times New Roman" w:hAnsi="Times New Roman" w:eastAsia="仿宋_GB2312" w:cs="Times New Roman"/>
          <w:sz w:val="32"/>
          <w:szCs w:val="32"/>
          <w:lang w:eastAsia="zh-CN"/>
        </w:rPr>
        <w:t>及类型。</w:t>
      </w:r>
    </w:p>
    <w:p>
      <w:pPr>
        <w:spacing w:line="560" w:lineRule="exact"/>
        <w:ind w:firstLine="640" w:firstLineChars="200"/>
        <w:rPr>
          <w:rFonts w:ascii="Times New Roman" w:hAnsi="Times New Roman" w:eastAsia="楷体" w:cs="Times New Roman"/>
          <w:sz w:val="32"/>
          <w:szCs w:val="32"/>
        </w:rPr>
      </w:pPr>
      <w:bookmarkStart w:id="13" w:name="_Toc29700"/>
      <w:r>
        <w:rPr>
          <w:rFonts w:ascii="Times New Roman" w:hAnsi="Times New Roman" w:eastAsia="楷体" w:cs="Times New Roman"/>
          <w:sz w:val="32"/>
          <w:szCs w:val="32"/>
        </w:rPr>
        <w:t>（三）数据剥离与校核</w:t>
      </w:r>
      <w:bookmarkEnd w:id="13"/>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应确保经济、人口等数据与监测统计范围相对应，不对应的需按照《规程》的相关要求进行数据剥离。其中，二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三产业税收总额与监测统计范围内已建成城镇建设用地对应，工业（物流）企业固定资产投资额、工业（物流）企业总收入、工业（物流）企业税收总额与监测统计范围内工矿仓储用地对应。</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数据收集后应从来源、口径、处理方式、年度变化等方面进行校核，从数据间的逻辑关系和变化程度，分析判断各项基础数据是否存在异常。存在异常的数据经核实无误后方可填报，并进行说明。</w:t>
      </w:r>
    </w:p>
    <w:p>
      <w:pPr>
        <w:spacing w:line="560" w:lineRule="exact"/>
        <w:ind w:firstLine="640" w:firstLineChars="200"/>
        <w:rPr>
          <w:rFonts w:ascii="Times New Roman" w:hAnsi="Times New Roman" w:eastAsia="黑体" w:cs="Times New Roman"/>
          <w:sz w:val="32"/>
          <w:szCs w:val="32"/>
        </w:rPr>
      </w:pPr>
      <w:bookmarkStart w:id="14" w:name="_Toc13760"/>
      <w:r>
        <w:rPr>
          <w:rFonts w:ascii="Times New Roman" w:hAnsi="Times New Roman" w:eastAsia="黑体" w:cs="Times New Roman"/>
          <w:sz w:val="32"/>
          <w:szCs w:val="32"/>
        </w:rPr>
        <w:t>三、</w:t>
      </w:r>
      <w:r>
        <w:rPr>
          <w:rFonts w:hint="eastAsia" w:ascii="Times New Roman" w:hAnsi="Times New Roman" w:eastAsia="黑体" w:cs="Times New Roman"/>
          <w:sz w:val="32"/>
          <w:szCs w:val="32"/>
        </w:rPr>
        <w:t>开发区</w:t>
      </w:r>
      <w:r>
        <w:rPr>
          <w:rFonts w:ascii="Times New Roman" w:hAnsi="Times New Roman" w:eastAsia="黑体" w:cs="Times New Roman"/>
          <w:sz w:val="32"/>
          <w:szCs w:val="32"/>
        </w:rPr>
        <w:t>土地集约利用状况省级汇总分析</w:t>
      </w:r>
      <w:bookmarkEnd w:id="14"/>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土地集约利用状况省级汇总分析由省级自然资源</w:t>
      </w:r>
      <w:r>
        <w:rPr>
          <w:rFonts w:hint="eastAsia" w:ascii="Times New Roman" w:hAnsi="Times New Roman" w:eastAsia="仿宋_GB2312" w:cs="Times New Roman"/>
          <w:sz w:val="32"/>
          <w:szCs w:val="32"/>
          <w:lang w:val="en-US" w:eastAsia="zh-CN"/>
        </w:rPr>
        <w:t>厅</w:t>
      </w:r>
      <w:r>
        <w:rPr>
          <w:rFonts w:ascii="Times New Roman" w:hAnsi="Times New Roman" w:eastAsia="仿宋_GB2312" w:cs="Times New Roman"/>
          <w:sz w:val="32"/>
          <w:szCs w:val="32"/>
        </w:rPr>
        <w:t>负责组织，省</w:t>
      </w:r>
      <w:r>
        <w:rPr>
          <w:rFonts w:hint="eastAsia" w:ascii="Times New Roman" w:hAnsi="Times New Roman" w:eastAsia="仿宋_GB2312" w:cs="Times New Roman"/>
          <w:sz w:val="32"/>
          <w:szCs w:val="32"/>
          <w:lang w:val="en-US" w:eastAsia="zh-CN"/>
        </w:rPr>
        <w:t>国土空间规划院</w:t>
      </w:r>
      <w:r>
        <w:rPr>
          <w:rFonts w:ascii="Times New Roman" w:hAnsi="Times New Roman" w:eastAsia="仿宋_GB2312" w:cs="Times New Roman"/>
          <w:sz w:val="32"/>
          <w:szCs w:val="32"/>
        </w:rPr>
        <w:t>具体承担。</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汇总分析前，</w:t>
      </w:r>
      <w:r>
        <w:rPr>
          <w:rFonts w:hint="eastAsia" w:ascii="Times New Roman" w:hAnsi="Times New Roman" w:eastAsia="仿宋_GB2312" w:cs="Times New Roman"/>
          <w:sz w:val="32"/>
          <w:szCs w:val="32"/>
        </w:rPr>
        <w:t>省国土空间规划院</w:t>
      </w:r>
      <w:r>
        <w:rPr>
          <w:rFonts w:hint="eastAsia" w:ascii="Times New Roman" w:hAnsi="Times New Roman" w:eastAsia="仿宋_GB2312" w:cs="Times New Roman"/>
          <w:sz w:val="32"/>
          <w:szCs w:val="32"/>
          <w:lang w:val="en-US" w:eastAsia="zh-CN"/>
        </w:rPr>
        <w:t>会</w:t>
      </w:r>
      <w:r>
        <w:rPr>
          <w:rFonts w:ascii="Times New Roman" w:hAnsi="Times New Roman" w:eastAsia="仿宋_GB2312" w:cs="Times New Roman"/>
          <w:sz w:val="32"/>
          <w:szCs w:val="32"/>
        </w:rPr>
        <w:t>对</w:t>
      </w:r>
      <w:r>
        <w:rPr>
          <w:rFonts w:hint="eastAsia" w:ascii="Times New Roman" w:hAnsi="Times New Roman" w:eastAsia="仿宋_GB2312" w:cs="Times New Roman"/>
          <w:sz w:val="32"/>
          <w:szCs w:val="32"/>
        </w:rPr>
        <w:t>参评开发区</w:t>
      </w:r>
      <w:r>
        <w:rPr>
          <w:rFonts w:ascii="Times New Roman" w:hAnsi="Times New Roman" w:eastAsia="仿宋_GB2312" w:cs="Times New Roman"/>
          <w:sz w:val="32"/>
          <w:szCs w:val="32"/>
        </w:rPr>
        <w:t>填报信息的准确性、数据完整性、数据逻辑关系及异常数据等进行核实，</w:t>
      </w:r>
      <w:r>
        <w:rPr>
          <w:rFonts w:hint="eastAsia" w:ascii="Times New Roman" w:hAnsi="Times New Roman" w:eastAsia="仿宋_GB2312" w:cs="Times New Roman"/>
          <w:sz w:val="32"/>
          <w:szCs w:val="32"/>
          <w:lang w:val="en-US" w:eastAsia="zh-CN"/>
        </w:rPr>
        <w:t>并</w:t>
      </w:r>
      <w:r>
        <w:rPr>
          <w:rFonts w:ascii="Times New Roman" w:hAnsi="Times New Roman" w:eastAsia="仿宋_GB2312" w:cs="Times New Roman"/>
          <w:sz w:val="32"/>
          <w:szCs w:val="32"/>
        </w:rPr>
        <w:t>按照一定比例对土地利用状况等数据进行多种形式的抽查</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经反馈、修改合格后开展汇总分析。</w:t>
      </w:r>
    </w:p>
    <w:p>
      <w:pPr>
        <w:spacing w:line="560" w:lineRule="exact"/>
        <w:ind w:firstLine="640" w:firstLineChars="200"/>
        <w:rPr>
          <w:rFonts w:ascii="Times New Roman" w:hAnsi="Times New Roman" w:eastAsia="楷体" w:cs="Times New Roman"/>
          <w:sz w:val="32"/>
          <w:szCs w:val="32"/>
        </w:rPr>
      </w:pPr>
      <w:bookmarkStart w:id="15" w:name="_Toc4657"/>
      <w:r>
        <w:rPr>
          <w:rFonts w:ascii="Times New Roman" w:hAnsi="Times New Roman" w:eastAsia="楷体" w:cs="Times New Roman"/>
          <w:sz w:val="32"/>
          <w:szCs w:val="32"/>
        </w:rPr>
        <w:t>（一）土地利用状况分析</w:t>
      </w:r>
      <w:bookmarkEnd w:id="15"/>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核实、汇总</w:t>
      </w:r>
      <w:r>
        <w:rPr>
          <w:rFonts w:hint="eastAsia" w:ascii="Times New Roman" w:hAnsi="Times New Roman" w:eastAsia="仿宋_GB2312" w:cs="Times New Roman"/>
          <w:sz w:val="32"/>
          <w:szCs w:val="32"/>
        </w:rPr>
        <w:t>参评</w:t>
      </w:r>
      <w:r>
        <w:rPr>
          <w:rFonts w:ascii="Times New Roman" w:hAnsi="Times New Roman" w:eastAsia="仿宋_GB2312" w:cs="Times New Roman"/>
          <w:sz w:val="32"/>
          <w:szCs w:val="32"/>
        </w:rPr>
        <w:t>开发区上报的监测统计数据，形成省级汇总分析基础数据，对全省各级各类</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土地的规划、征转、开发、供应、建设、用地结构、闲置情况和建筑工程等状况及变化开展分析。</w:t>
      </w:r>
    </w:p>
    <w:p>
      <w:pPr>
        <w:spacing w:line="560" w:lineRule="exact"/>
        <w:ind w:firstLine="640" w:firstLineChars="200"/>
        <w:rPr>
          <w:rFonts w:ascii="Times New Roman" w:hAnsi="Times New Roman" w:eastAsia="楷体" w:cs="Times New Roman"/>
          <w:sz w:val="32"/>
          <w:szCs w:val="32"/>
        </w:rPr>
      </w:pPr>
      <w:bookmarkStart w:id="16" w:name="_Toc6883"/>
      <w:r>
        <w:rPr>
          <w:rFonts w:ascii="Times New Roman" w:hAnsi="Times New Roman" w:eastAsia="楷体" w:cs="Times New Roman"/>
          <w:sz w:val="32"/>
          <w:szCs w:val="32"/>
        </w:rPr>
        <w:t>（二）土地集约利用现状值计算与分析</w:t>
      </w:r>
      <w:bookmarkEnd w:id="16"/>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根据表1、表2的分析指标及《规程》的指标定义，计算全省各级各类开发区的土地集约利用指标现状值，从土地利用状况、用地效益、管理绩效等方面分析开发区土地集约利用总体状况及不同级别、类型间的差异。</w:t>
      </w: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r>
        <w:rPr>
          <w:rFonts w:ascii="Times New Roman" w:hAnsi="Times New Roman" w:eastAsia="黑体" w:cs="Times New Roman"/>
          <w:bCs/>
          <w:color w:val="000000"/>
          <w:kern w:val="21"/>
          <w:sz w:val="24"/>
          <w:szCs w:val="32"/>
        </w:rPr>
        <w:t>表1  工业主导型开发区土地集约利用分析指标</w:t>
      </w: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0"/>
        <w:gridCol w:w="2425"/>
        <w:gridCol w:w="2904"/>
        <w:gridCol w:w="13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1580"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bCs/>
                <w:color w:val="000000"/>
                <w:kern w:val="0"/>
                <w:sz w:val="21"/>
                <w:szCs w:val="21"/>
              </w:rPr>
            </w:pPr>
            <w:r>
              <w:rPr>
                <w:rFonts w:hint="eastAsia" w:ascii="仿宋_GB2312" w:hAnsi="仿宋_GB2312" w:eastAsia="仿宋_GB2312" w:cs="仿宋_GB2312"/>
                <w:b/>
                <w:bCs/>
                <w:color w:val="000000"/>
                <w:kern w:val="0"/>
                <w:sz w:val="21"/>
                <w:szCs w:val="21"/>
              </w:rPr>
              <w:t>目  标</w:t>
            </w:r>
          </w:p>
        </w:tc>
        <w:tc>
          <w:tcPr>
            <w:tcW w:w="2425"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bCs/>
                <w:color w:val="000000"/>
                <w:kern w:val="0"/>
                <w:sz w:val="21"/>
                <w:szCs w:val="21"/>
              </w:rPr>
            </w:pPr>
            <w:r>
              <w:rPr>
                <w:rFonts w:hint="eastAsia" w:ascii="仿宋_GB2312" w:hAnsi="仿宋_GB2312" w:eastAsia="仿宋_GB2312" w:cs="仿宋_GB2312"/>
                <w:b/>
                <w:bCs/>
                <w:color w:val="000000"/>
                <w:kern w:val="0"/>
                <w:sz w:val="21"/>
                <w:szCs w:val="21"/>
              </w:rPr>
              <w:t>子目标</w:t>
            </w:r>
          </w:p>
        </w:tc>
        <w:tc>
          <w:tcPr>
            <w:tcW w:w="2904" w:type="dxa"/>
            <w:tcBorders>
              <w:top w:val="single" w:color="000000" w:sz="4" w:space="0"/>
              <w:left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bCs/>
                <w:color w:val="000000"/>
                <w:kern w:val="0"/>
                <w:sz w:val="21"/>
                <w:szCs w:val="21"/>
              </w:rPr>
            </w:pPr>
            <w:r>
              <w:rPr>
                <w:rFonts w:hint="eastAsia" w:ascii="仿宋_GB2312" w:hAnsi="仿宋_GB2312" w:eastAsia="仿宋_GB2312" w:cs="仿宋_GB2312"/>
                <w:b/>
                <w:bCs/>
                <w:color w:val="000000"/>
                <w:kern w:val="0"/>
                <w:sz w:val="21"/>
                <w:szCs w:val="21"/>
              </w:rPr>
              <w:t>指  标</w:t>
            </w:r>
          </w:p>
        </w:tc>
        <w:tc>
          <w:tcPr>
            <w:tcW w:w="1369" w:type="dxa"/>
            <w:tcBorders>
              <w:top w:val="single" w:color="000000" w:sz="4" w:space="0"/>
              <w:left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bCs/>
                <w:color w:val="000000"/>
                <w:kern w:val="0"/>
                <w:sz w:val="21"/>
                <w:szCs w:val="21"/>
              </w:rPr>
            </w:pPr>
            <w:r>
              <w:rPr>
                <w:rFonts w:hint="eastAsia" w:ascii="仿宋_GB2312" w:hAnsi="仿宋_GB2312" w:eastAsia="仿宋_GB2312" w:cs="仿宋_GB2312"/>
                <w:b/>
                <w:bCs/>
                <w:color w:val="000000"/>
                <w:kern w:val="0"/>
                <w:sz w:val="21"/>
                <w:szCs w:val="21"/>
              </w:rPr>
              <w:t>指标属性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土地利用状况</w:t>
            </w:r>
          </w:p>
        </w:tc>
        <w:tc>
          <w:tcPr>
            <w:tcW w:w="242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土地利用程度</w:t>
            </w: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土地开发率</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105" w:firstLineChars="50"/>
              <w:jc w:val="center"/>
              <w:textAlignment w:val="auto"/>
              <w:rPr>
                <w:rFonts w:ascii="仿宋_GB2312" w:hAnsi="仿宋_GB2312" w:eastAsia="仿宋_GB2312" w:cs="仿宋_GB2312"/>
                <w:b/>
                <w:bCs/>
                <w:kern w:val="0"/>
                <w:sz w:val="21"/>
                <w:szCs w:val="21"/>
              </w:rPr>
            </w:pPr>
          </w:p>
        </w:tc>
        <w:tc>
          <w:tcPr>
            <w:tcW w:w="24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仿宋_GB2312" w:hAnsi="仿宋_GB2312" w:eastAsia="仿宋_GB2312" w:cs="仿宋_GB2312"/>
                <w:kern w:val="0"/>
                <w:sz w:val="21"/>
                <w:szCs w:val="21"/>
              </w:rPr>
            </w:pP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土地供应率</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ascii="仿宋_GB2312" w:hAnsi="仿宋_GB2312" w:eastAsia="仿宋_GB2312" w:cs="仿宋_GB2312"/>
                <w:b/>
                <w:bCs/>
                <w:kern w:val="0"/>
                <w:sz w:val="21"/>
                <w:szCs w:val="21"/>
              </w:rPr>
            </w:pPr>
          </w:p>
        </w:tc>
        <w:tc>
          <w:tcPr>
            <w:tcW w:w="24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仿宋_GB2312" w:hAnsi="仿宋_GB2312" w:eastAsia="仿宋_GB2312" w:cs="仿宋_GB2312"/>
                <w:kern w:val="0"/>
                <w:sz w:val="21"/>
                <w:szCs w:val="21"/>
              </w:rPr>
            </w:pP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土地建成率</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ascii="仿宋_GB2312" w:hAnsi="仿宋_GB2312" w:eastAsia="仿宋_GB2312" w:cs="仿宋_GB2312"/>
                <w:b/>
                <w:bCs/>
                <w:kern w:val="0"/>
                <w:sz w:val="21"/>
                <w:szCs w:val="21"/>
              </w:rPr>
            </w:pPr>
          </w:p>
        </w:tc>
        <w:tc>
          <w:tcPr>
            <w:tcW w:w="2425"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用地结构状况</w:t>
            </w: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工业用地率</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ascii="仿宋_GB2312" w:hAnsi="仿宋_GB2312" w:eastAsia="仿宋_GB2312" w:cs="仿宋_GB2312"/>
                <w:b/>
                <w:bCs/>
                <w:kern w:val="0"/>
                <w:sz w:val="21"/>
                <w:szCs w:val="21"/>
              </w:rPr>
            </w:pPr>
          </w:p>
        </w:tc>
        <w:tc>
          <w:tcPr>
            <w:tcW w:w="242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土地利用强度</w:t>
            </w: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综合容积率</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ascii="仿宋_GB2312" w:hAnsi="仿宋_GB2312" w:eastAsia="仿宋_GB2312" w:cs="仿宋_GB2312"/>
                <w:b/>
                <w:bCs/>
                <w:kern w:val="0"/>
                <w:sz w:val="21"/>
                <w:szCs w:val="21"/>
              </w:rPr>
            </w:pPr>
          </w:p>
        </w:tc>
        <w:tc>
          <w:tcPr>
            <w:tcW w:w="24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仿宋_GB2312" w:hAnsi="仿宋_GB2312" w:eastAsia="仿宋_GB2312" w:cs="仿宋_GB2312"/>
                <w:kern w:val="0"/>
                <w:sz w:val="21"/>
                <w:szCs w:val="21"/>
              </w:rPr>
            </w:pP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建筑密度</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ascii="仿宋_GB2312" w:hAnsi="仿宋_GB2312" w:eastAsia="仿宋_GB2312" w:cs="仿宋_GB2312"/>
                <w:b/>
                <w:bCs/>
                <w:kern w:val="0"/>
                <w:sz w:val="21"/>
                <w:szCs w:val="21"/>
              </w:rPr>
            </w:pPr>
          </w:p>
        </w:tc>
        <w:tc>
          <w:tcPr>
            <w:tcW w:w="24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仿宋_GB2312" w:hAnsi="仿宋_GB2312" w:eastAsia="仿宋_GB2312" w:cs="仿宋_GB2312"/>
                <w:kern w:val="0"/>
                <w:sz w:val="21"/>
                <w:szCs w:val="21"/>
              </w:rPr>
            </w:pP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工业用地综合容积率</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3" w:hRule="exact"/>
          <w:jc w:val="center"/>
        </w:trPr>
        <w:tc>
          <w:tcPr>
            <w:tcW w:w="1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ascii="仿宋_GB2312" w:hAnsi="仿宋_GB2312" w:eastAsia="仿宋_GB2312" w:cs="仿宋_GB2312"/>
                <w:b/>
                <w:bCs/>
                <w:kern w:val="0"/>
                <w:sz w:val="21"/>
                <w:szCs w:val="21"/>
              </w:rPr>
            </w:pPr>
          </w:p>
        </w:tc>
        <w:tc>
          <w:tcPr>
            <w:tcW w:w="24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仿宋_GB2312" w:hAnsi="仿宋_GB2312" w:eastAsia="仿宋_GB2312" w:cs="仿宋_GB2312"/>
                <w:kern w:val="0"/>
                <w:sz w:val="21"/>
                <w:szCs w:val="21"/>
              </w:rPr>
            </w:pP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工业用地建筑系数</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580"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用地效益</w:t>
            </w:r>
          </w:p>
        </w:tc>
        <w:tc>
          <w:tcPr>
            <w:tcW w:w="2425"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产业用地投入产出效益</w:t>
            </w:r>
          </w:p>
        </w:tc>
        <w:tc>
          <w:tcPr>
            <w:tcW w:w="2904" w:type="dxa"/>
            <w:tcBorders>
              <w:top w:val="single" w:color="000000" w:sz="4" w:space="0"/>
              <w:left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工业用地固定资产投入强度</w:t>
            </w:r>
          </w:p>
        </w:tc>
        <w:tc>
          <w:tcPr>
            <w:tcW w:w="1369" w:type="dxa"/>
            <w:tcBorders>
              <w:top w:val="single" w:color="000000" w:sz="4" w:space="0"/>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3" w:hRule="exact"/>
          <w:jc w:val="center"/>
        </w:trPr>
        <w:tc>
          <w:tcPr>
            <w:tcW w:w="1580"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ascii="仿宋_GB2312" w:hAnsi="仿宋_GB2312" w:eastAsia="仿宋_GB2312" w:cs="仿宋_GB2312"/>
                <w:b/>
                <w:bCs/>
                <w:kern w:val="0"/>
                <w:sz w:val="21"/>
                <w:szCs w:val="21"/>
              </w:rPr>
            </w:pPr>
          </w:p>
        </w:tc>
        <w:tc>
          <w:tcPr>
            <w:tcW w:w="242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仿宋_GB2312" w:hAnsi="仿宋_GB2312" w:eastAsia="仿宋_GB2312" w:cs="仿宋_GB2312"/>
                <w:kern w:val="0"/>
                <w:sz w:val="21"/>
                <w:szCs w:val="21"/>
              </w:rPr>
            </w:pPr>
          </w:p>
        </w:tc>
        <w:tc>
          <w:tcPr>
            <w:tcW w:w="2904" w:type="dxa"/>
            <w:tcBorders>
              <w:top w:val="single" w:color="000000" w:sz="4" w:space="0"/>
              <w:left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工业用地地均税收</w:t>
            </w:r>
          </w:p>
        </w:tc>
        <w:tc>
          <w:tcPr>
            <w:tcW w:w="1369" w:type="dxa"/>
            <w:tcBorders>
              <w:top w:val="single" w:color="000000" w:sz="4" w:space="0"/>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8" w:hRule="exac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管理绩效</w:t>
            </w:r>
          </w:p>
        </w:tc>
        <w:tc>
          <w:tcPr>
            <w:tcW w:w="24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土地利用监管绩效</w:t>
            </w:r>
          </w:p>
        </w:tc>
        <w:tc>
          <w:tcPr>
            <w:tcW w:w="2904"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土地闲置率</w:t>
            </w:r>
          </w:p>
        </w:tc>
        <w:tc>
          <w:tcPr>
            <w:tcW w:w="136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负向相关</w:t>
            </w:r>
          </w:p>
        </w:tc>
      </w:tr>
    </w:tbl>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r>
        <w:rPr>
          <w:rFonts w:ascii="Times New Roman" w:hAnsi="Times New Roman" w:eastAsia="黑体" w:cs="Times New Roman"/>
          <w:bCs/>
          <w:color w:val="000000"/>
          <w:kern w:val="21"/>
          <w:sz w:val="24"/>
          <w:szCs w:val="32"/>
        </w:rPr>
        <w:t>表2  产城融合型开发区土地集约利用分析指标</w:t>
      </w: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605"/>
        <w:gridCol w:w="2480"/>
        <w:gridCol w:w="2944"/>
        <w:gridCol w:w="1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855" w:hRule="exact"/>
          <w:jc w:val="center"/>
        </w:trPr>
        <w:tc>
          <w:tcPr>
            <w:tcW w:w="1605"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目  标</w:t>
            </w:r>
          </w:p>
        </w:tc>
        <w:tc>
          <w:tcPr>
            <w:tcW w:w="248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子目标</w:t>
            </w:r>
          </w:p>
        </w:tc>
        <w:tc>
          <w:tcPr>
            <w:tcW w:w="29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指  标</w:t>
            </w:r>
          </w:p>
        </w:tc>
        <w:tc>
          <w:tcPr>
            <w:tcW w:w="138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指标属性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41" w:hRule="exact"/>
          <w:jc w:val="center"/>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土地利用状况</w:t>
            </w:r>
          </w:p>
        </w:tc>
        <w:tc>
          <w:tcPr>
            <w:tcW w:w="2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土地利用程度</w:t>
            </w:r>
          </w:p>
        </w:tc>
        <w:tc>
          <w:tcPr>
            <w:tcW w:w="29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土地开发率</w:t>
            </w:r>
          </w:p>
        </w:tc>
        <w:tc>
          <w:tcPr>
            <w:tcW w:w="138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41" w:hRule="exact"/>
          <w:jc w:val="center"/>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p>
        </w:tc>
        <w:tc>
          <w:tcPr>
            <w:tcW w:w="2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p>
        </w:tc>
        <w:tc>
          <w:tcPr>
            <w:tcW w:w="29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土地供应率</w:t>
            </w:r>
          </w:p>
        </w:tc>
        <w:tc>
          <w:tcPr>
            <w:tcW w:w="138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41" w:hRule="exact"/>
          <w:jc w:val="center"/>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p>
        </w:tc>
        <w:tc>
          <w:tcPr>
            <w:tcW w:w="2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p>
        </w:tc>
        <w:tc>
          <w:tcPr>
            <w:tcW w:w="29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土地建成率</w:t>
            </w:r>
          </w:p>
        </w:tc>
        <w:tc>
          <w:tcPr>
            <w:tcW w:w="138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41" w:hRule="exact"/>
          <w:jc w:val="center"/>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p>
        </w:tc>
        <w:tc>
          <w:tcPr>
            <w:tcW w:w="2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土地利用强度</w:t>
            </w:r>
          </w:p>
        </w:tc>
        <w:tc>
          <w:tcPr>
            <w:tcW w:w="29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综合容积率</w:t>
            </w:r>
          </w:p>
        </w:tc>
        <w:tc>
          <w:tcPr>
            <w:tcW w:w="138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41" w:hRule="exact"/>
          <w:jc w:val="center"/>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p>
        </w:tc>
        <w:tc>
          <w:tcPr>
            <w:tcW w:w="2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p>
        </w:tc>
        <w:tc>
          <w:tcPr>
            <w:tcW w:w="29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建筑密度</w:t>
            </w:r>
          </w:p>
        </w:tc>
        <w:tc>
          <w:tcPr>
            <w:tcW w:w="138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41" w:hRule="exact"/>
          <w:jc w:val="center"/>
        </w:trPr>
        <w:tc>
          <w:tcPr>
            <w:tcW w:w="16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用地效益</w:t>
            </w:r>
          </w:p>
        </w:tc>
        <w:tc>
          <w:tcPr>
            <w:tcW w:w="248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综合用地效益</w:t>
            </w:r>
          </w:p>
        </w:tc>
        <w:tc>
          <w:tcPr>
            <w:tcW w:w="2944" w:type="dxa"/>
            <w:tcBorders>
              <w:top w:val="single" w:color="000000" w:sz="4" w:space="0"/>
              <w:left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综合地均税收</w:t>
            </w:r>
          </w:p>
        </w:tc>
        <w:tc>
          <w:tcPr>
            <w:tcW w:w="1389" w:type="dxa"/>
            <w:tcBorders>
              <w:top w:val="single" w:color="000000" w:sz="4" w:space="0"/>
              <w:left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41" w:hRule="exact"/>
          <w:jc w:val="center"/>
        </w:trPr>
        <w:tc>
          <w:tcPr>
            <w:tcW w:w="1605"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p>
        </w:tc>
        <w:tc>
          <w:tcPr>
            <w:tcW w:w="2480"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p>
        </w:tc>
        <w:tc>
          <w:tcPr>
            <w:tcW w:w="2944" w:type="dxa"/>
            <w:tcBorders>
              <w:top w:val="single" w:color="000000" w:sz="4" w:space="0"/>
              <w:left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人口密度</w:t>
            </w:r>
          </w:p>
        </w:tc>
        <w:tc>
          <w:tcPr>
            <w:tcW w:w="1389" w:type="dxa"/>
            <w:tcBorders>
              <w:top w:val="single" w:color="000000" w:sz="4" w:space="0"/>
              <w:left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正向相关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884" w:hRule="exact"/>
          <w:jc w:val="center"/>
        </w:trPr>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管理绩效</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土地利用监管绩效</w:t>
            </w:r>
          </w:p>
        </w:tc>
        <w:tc>
          <w:tcPr>
            <w:tcW w:w="2944"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土地闲置率</w:t>
            </w:r>
          </w:p>
        </w:tc>
        <w:tc>
          <w:tcPr>
            <w:tcW w:w="138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负向相关</w:t>
            </w:r>
          </w:p>
        </w:tc>
      </w:tr>
    </w:tbl>
    <w:p>
      <w:pPr>
        <w:spacing w:line="560" w:lineRule="exact"/>
        <w:ind w:firstLine="640" w:firstLineChars="200"/>
        <w:rPr>
          <w:rFonts w:ascii="Times New Roman" w:hAnsi="Times New Roman" w:eastAsia="楷体" w:cs="Times New Roman"/>
          <w:sz w:val="32"/>
          <w:szCs w:val="32"/>
        </w:rPr>
      </w:pPr>
      <w:bookmarkStart w:id="17" w:name="_Toc24049"/>
      <w:r>
        <w:rPr>
          <w:rFonts w:ascii="Times New Roman" w:hAnsi="Times New Roman" w:eastAsia="楷体" w:cs="Times New Roman"/>
          <w:sz w:val="32"/>
          <w:szCs w:val="32"/>
        </w:rPr>
        <w:t>（三）土地利用集约度综合分值计算</w:t>
      </w:r>
      <w:bookmarkEnd w:id="17"/>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
          <w:bCs/>
          <w:color w:val="000000"/>
          <w:kern w:val="21"/>
          <w:sz w:val="24"/>
          <w:szCs w:val="32"/>
        </w:rPr>
      </w:pPr>
      <w:r>
        <w:rPr>
          <w:rFonts w:ascii="Times New Roman" w:hAnsi="Times New Roman" w:eastAsia="仿宋_GB2312" w:cs="Times New Roman"/>
          <w:sz w:val="32"/>
          <w:szCs w:val="32"/>
        </w:rPr>
        <w:t>根据监测统计数据计算开发区土地利用集约度综合分值时，指标权重值统一按照表3、表4设定，指标标准值根据省内开发区本轮监测统计指标的现状值，采用最大值（最小值）、分位数、均值等方法确定。</w:t>
      </w: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p>
    <w:p>
      <w:pPr>
        <w:keepNext w:val="0"/>
        <w:keepLines w:val="0"/>
        <w:pageBreakBefore w:val="0"/>
        <w:widowControl w:val="0"/>
        <w:kinsoku/>
        <w:wordWrap/>
        <w:overflowPunct/>
        <w:topLinePunct w:val="0"/>
        <w:autoSpaceDE/>
        <w:autoSpaceDN/>
        <w:bidi w:val="0"/>
        <w:adjustRightInd/>
        <w:snapToGrid/>
        <w:spacing w:after="156" w:afterLines="50" w:line="560" w:lineRule="exact"/>
        <w:ind w:firstLine="0" w:firstLineChars="0"/>
        <w:jc w:val="center"/>
        <w:textAlignment w:val="auto"/>
        <w:rPr>
          <w:rFonts w:ascii="Times New Roman" w:hAnsi="Times New Roman" w:eastAsia="黑体" w:cs="Times New Roman"/>
          <w:bCs/>
          <w:color w:val="000000"/>
          <w:kern w:val="21"/>
          <w:sz w:val="24"/>
          <w:szCs w:val="32"/>
        </w:rPr>
      </w:pPr>
      <w:r>
        <w:rPr>
          <w:rFonts w:ascii="Times New Roman" w:hAnsi="Times New Roman" w:eastAsia="黑体" w:cs="Times New Roman"/>
          <w:bCs/>
          <w:color w:val="000000"/>
          <w:kern w:val="21"/>
          <w:sz w:val="24"/>
          <w:szCs w:val="32"/>
        </w:rPr>
        <w:t>表3  工业主导型开发区土地集约利用指标权重</w:t>
      </w:r>
    </w:p>
    <w:tbl>
      <w:tblPr>
        <w:tblStyle w:val="8"/>
        <w:tblW w:w="88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1"/>
        <w:gridCol w:w="900"/>
        <w:gridCol w:w="2345"/>
        <w:gridCol w:w="855"/>
        <w:gridCol w:w="2767"/>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111"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目  标</w:t>
            </w:r>
          </w:p>
        </w:tc>
        <w:tc>
          <w:tcPr>
            <w:tcW w:w="900"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权  重</w:t>
            </w:r>
          </w:p>
        </w:tc>
        <w:tc>
          <w:tcPr>
            <w:tcW w:w="2345"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子目标</w:t>
            </w:r>
          </w:p>
        </w:tc>
        <w:tc>
          <w:tcPr>
            <w:tcW w:w="855"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权  重</w:t>
            </w:r>
          </w:p>
        </w:tc>
        <w:tc>
          <w:tcPr>
            <w:tcW w:w="2767" w:type="dxa"/>
            <w:tcBorders>
              <w:top w:val="single" w:color="000000" w:sz="4" w:space="0"/>
              <w:left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指  标</w:t>
            </w:r>
          </w:p>
        </w:tc>
        <w:tc>
          <w:tcPr>
            <w:tcW w:w="854" w:type="dxa"/>
            <w:tcBorders>
              <w:top w:val="single" w:color="000000" w:sz="4" w:space="0"/>
              <w:left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权  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11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土地利用</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状况</w:t>
            </w:r>
          </w:p>
        </w:tc>
        <w:tc>
          <w:tcPr>
            <w:tcW w:w="900"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0.72</w:t>
            </w:r>
          </w:p>
        </w:tc>
        <w:tc>
          <w:tcPr>
            <w:tcW w:w="234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土地利用程度</w:t>
            </w:r>
          </w:p>
        </w:tc>
        <w:tc>
          <w:tcPr>
            <w:tcW w:w="855"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0.23</w:t>
            </w: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土地开发率</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exact"/>
          <w:jc w:val="center"/>
        </w:trPr>
        <w:tc>
          <w:tcPr>
            <w:tcW w:w="11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85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土地供应率</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exact"/>
          <w:jc w:val="center"/>
        </w:trPr>
        <w:tc>
          <w:tcPr>
            <w:tcW w:w="11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855"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土地建成率</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exact"/>
          <w:jc w:val="center"/>
        </w:trPr>
        <w:tc>
          <w:tcPr>
            <w:tcW w:w="11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用地结构状况</w:t>
            </w:r>
          </w:p>
        </w:tc>
        <w:tc>
          <w:tcPr>
            <w:tcW w:w="855" w:type="dxa"/>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0.24</w:t>
            </w: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工业用地率</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jc w:val="center"/>
        </w:trPr>
        <w:tc>
          <w:tcPr>
            <w:tcW w:w="11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土地利用强度</w:t>
            </w:r>
          </w:p>
        </w:tc>
        <w:tc>
          <w:tcPr>
            <w:tcW w:w="855"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0.53</w:t>
            </w: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综合容积率</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exact"/>
          <w:jc w:val="center"/>
        </w:trPr>
        <w:tc>
          <w:tcPr>
            <w:tcW w:w="11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85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建筑密度</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11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85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工业用地综合容积率</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exact"/>
          <w:jc w:val="center"/>
        </w:trPr>
        <w:tc>
          <w:tcPr>
            <w:tcW w:w="11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855"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工业用地建筑系数</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exact"/>
          <w:jc w:val="center"/>
        </w:trPr>
        <w:tc>
          <w:tcPr>
            <w:tcW w:w="1111"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用地效益</w:t>
            </w:r>
          </w:p>
        </w:tc>
        <w:tc>
          <w:tcPr>
            <w:tcW w:w="900"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0.18</w:t>
            </w:r>
          </w:p>
        </w:tc>
        <w:tc>
          <w:tcPr>
            <w:tcW w:w="2345"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产业用地投入产出效益</w:t>
            </w:r>
          </w:p>
        </w:tc>
        <w:tc>
          <w:tcPr>
            <w:tcW w:w="855"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1.00</w:t>
            </w:r>
          </w:p>
        </w:tc>
        <w:tc>
          <w:tcPr>
            <w:tcW w:w="2767" w:type="dxa"/>
            <w:tcBorders>
              <w:top w:val="single" w:color="000000" w:sz="4" w:space="0"/>
              <w:left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工业用地固定资产投入强度</w:t>
            </w:r>
          </w:p>
        </w:tc>
        <w:tc>
          <w:tcPr>
            <w:tcW w:w="854" w:type="dxa"/>
            <w:tcBorders>
              <w:top w:val="single" w:color="000000" w:sz="4" w:space="0"/>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exact"/>
          <w:jc w:val="center"/>
        </w:trPr>
        <w:tc>
          <w:tcPr>
            <w:tcW w:w="1111"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900"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34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85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767" w:type="dxa"/>
            <w:tcBorders>
              <w:top w:val="single" w:color="000000" w:sz="4" w:space="0"/>
              <w:left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工业用地地均税收</w:t>
            </w:r>
          </w:p>
        </w:tc>
        <w:tc>
          <w:tcPr>
            <w:tcW w:w="854" w:type="dxa"/>
            <w:tcBorders>
              <w:top w:val="single" w:color="000000" w:sz="4" w:space="0"/>
              <w:left w:val="single" w:color="auto"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1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管理绩效</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0.10</w:t>
            </w:r>
          </w:p>
        </w:tc>
        <w:tc>
          <w:tcPr>
            <w:tcW w:w="23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土地利用监管绩效</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1.00</w:t>
            </w:r>
          </w:p>
        </w:tc>
        <w:tc>
          <w:tcPr>
            <w:tcW w:w="276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土地闲置率</w:t>
            </w:r>
          </w:p>
        </w:tc>
        <w:tc>
          <w:tcPr>
            <w:tcW w:w="85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1.00</w:t>
            </w:r>
          </w:p>
        </w:tc>
      </w:tr>
    </w:tbl>
    <w:p>
      <w:pPr>
        <w:spacing w:before="312" w:beforeLines="100" w:after="156" w:afterLines="50"/>
        <w:ind w:firstLine="0" w:firstLineChars="0"/>
        <w:jc w:val="center"/>
        <w:rPr>
          <w:rFonts w:ascii="Times New Roman" w:hAnsi="Times New Roman" w:eastAsia="黑体" w:cs="Times New Roman"/>
          <w:bCs/>
          <w:color w:val="000000"/>
          <w:kern w:val="21"/>
          <w:sz w:val="24"/>
          <w:szCs w:val="32"/>
        </w:rPr>
      </w:pPr>
      <w:r>
        <w:rPr>
          <w:rFonts w:ascii="Times New Roman" w:hAnsi="Times New Roman" w:eastAsia="黑体" w:cs="Times New Roman"/>
          <w:bCs/>
          <w:color w:val="000000"/>
          <w:kern w:val="21"/>
          <w:sz w:val="24"/>
          <w:szCs w:val="32"/>
        </w:rPr>
        <w:t>表4  产城融合型开发区土地集约利用指标权重</w:t>
      </w:r>
    </w:p>
    <w:tbl>
      <w:tblPr>
        <w:tblStyle w:val="8"/>
        <w:tblW w:w="88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5"/>
        <w:gridCol w:w="1165"/>
        <w:gridCol w:w="1952"/>
        <w:gridCol w:w="1163"/>
        <w:gridCol w:w="2272"/>
        <w:gridCol w:w="1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exact"/>
          <w:jc w:val="center"/>
        </w:trPr>
        <w:tc>
          <w:tcPr>
            <w:tcW w:w="1145" w:type="dxa"/>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目  标</w:t>
            </w:r>
          </w:p>
        </w:tc>
        <w:tc>
          <w:tcPr>
            <w:tcW w:w="1165" w:type="dxa"/>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权  重</w:t>
            </w:r>
          </w:p>
        </w:tc>
        <w:tc>
          <w:tcPr>
            <w:tcW w:w="1952" w:type="dxa"/>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子目标</w:t>
            </w:r>
          </w:p>
        </w:tc>
        <w:tc>
          <w:tcPr>
            <w:tcW w:w="1163" w:type="dxa"/>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权  重</w:t>
            </w:r>
          </w:p>
        </w:tc>
        <w:tc>
          <w:tcPr>
            <w:tcW w:w="2272"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指  标</w:t>
            </w:r>
          </w:p>
        </w:tc>
        <w:tc>
          <w:tcPr>
            <w:tcW w:w="119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权  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4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土地利用</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状况</w:t>
            </w:r>
          </w:p>
        </w:tc>
        <w:tc>
          <w:tcPr>
            <w:tcW w:w="1165"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0.62</w:t>
            </w: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土地利用程度</w:t>
            </w:r>
          </w:p>
        </w:tc>
        <w:tc>
          <w:tcPr>
            <w:tcW w:w="1163"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0.41</w:t>
            </w:r>
          </w:p>
        </w:tc>
        <w:tc>
          <w:tcPr>
            <w:tcW w:w="2272"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土地开发率</w:t>
            </w:r>
          </w:p>
        </w:tc>
        <w:tc>
          <w:tcPr>
            <w:tcW w:w="119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116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163"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272"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土地供应率</w:t>
            </w:r>
          </w:p>
        </w:tc>
        <w:tc>
          <w:tcPr>
            <w:tcW w:w="119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116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163"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272"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土地建成率</w:t>
            </w:r>
          </w:p>
        </w:tc>
        <w:tc>
          <w:tcPr>
            <w:tcW w:w="119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116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95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土地利用强度</w:t>
            </w:r>
          </w:p>
        </w:tc>
        <w:tc>
          <w:tcPr>
            <w:tcW w:w="1163"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0.59</w:t>
            </w:r>
          </w:p>
        </w:tc>
        <w:tc>
          <w:tcPr>
            <w:tcW w:w="2272"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综合容积率</w:t>
            </w:r>
          </w:p>
        </w:tc>
        <w:tc>
          <w:tcPr>
            <w:tcW w:w="119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4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1165"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95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163"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272"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建筑密度</w:t>
            </w:r>
          </w:p>
        </w:tc>
        <w:tc>
          <w:tcPr>
            <w:tcW w:w="119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45"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用地效益</w:t>
            </w:r>
          </w:p>
        </w:tc>
        <w:tc>
          <w:tcPr>
            <w:tcW w:w="1165"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0.28</w:t>
            </w:r>
          </w:p>
        </w:tc>
        <w:tc>
          <w:tcPr>
            <w:tcW w:w="1952" w:type="dxa"/>
            <w:vMerge w:val="restart"/>
            <w:tcBorders>
              <w:top w:val="single" w:color="000000" w:sz="4" w:space="0"/>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综合用地效益</w:t>
            </w:r>
          </w:p>
        </w:tc>
        <w:tc>
          <w:tcPr>
            <w:tcW w:w="1163"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1.00</w:t>
            </w:r>
          </w:p>
        </w:tc>
        <w:tc>
          <w:tcPr>
            <w:tcW w:w="2272" w:type="dxa"/>
            <w:tcBorders>
              <w:top w:val="single" w:color="000000" w:sz="4" w:space="0"/>
              <w:left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综合地均税收</w:t>
            </w:r>
          </w:p>
        </w:tc>
        <w:tc>
          <w:tcPr>
            <w:tcW w:w="1199" w:type="dxa"/>
            <w:tcBorders>
              <w:top w:val="single" w:color="000000" w:sz="4" w:space="0"/>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exact"/>
          <w:jc w:val="center"/>
        </w:trPr>
        <w:tc>
          <w:tcPr>
            <w:tcW w:w="114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p>
        </w:tc>
        <w:tc>
          <w:tcPr>
            <w:tcW w:w="1165"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952"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1163"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p>
        </w:tc>
        <w:tc>
          <w:tcPr>
            <w:tcW w:w="2272" w:type="dxa"/>
            <w:tcBorders>
              <w:top w:val="single" w:color="000000" w:sz="4" w:space="0"/>
              <w:left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人口密度</w:t>
            </w:r>
          </w:p>
        </w:tc>
        <w:tc>
          <w:tcPr>
            <w:tcW w:w="1199" w:type="dxa"/>
            <w:tcBorders>
              <w:top w:val="single" w:color="000000" w:sz="4" w:space="0"/>
              <w:left w:val="single" w:color="auto"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exact"/>
          <w:jc w:val="center"/>
        </w:trPr>
        <w:tc>
          <w:tcPr>
            <w:tcW w:w="11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管理绩效</w:t>
            </w:r>
          </w:p>
        </w:tc>
        <w:tc>
          <w:tcPr>
            <w:tcW w:w="11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0.10</w:t>
            </w:r>
          </w:p>
        </w:tc>
        <w:tc>
          <w:tcPr>
            <w:tcW w:w="19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土地利用监管绩效</w:t>
            </w:r>
          </w:p>
        </w:tc>
        <w:tc>
          <w:tcPr>
            <w:tcW w:w="11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1.00</w:t>
            </w:r>
          </w:p>
        </w:tc>
        <w:tc>
          <w:tcPr>
            <w:tcW w:w="2272"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土地闲置率</w:t>
            </w:r>
          </w:p>
        </w:tc>
        <w:tc>
          <w:tcPr>
            <w:tcW w:w="1199"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1.00</w:t>
            </w:r>
          </w:p>
        </w:tc>
      </w:tr>
    </w:tbl>
    <w:p>
      <w:pPr>
        <w:spacing w:line="560" w:lineRule="exact"/>
        <w:ind w:firstLine="640" w:firstLineChars="200"/>
        <w:rPr>
          <w:rFonts w:ascii="Times New Roman" w:hAnsi="Times New Roman" w:eastAsia="楷体" w:cs="Times New Roman"/>
          <w:sz w:val="32"/>
          <w:szCs w:val="32"/>
        </w:rPr>
      </w:pPr>
      <w:bookmarkStart w:id="18" w:name="_Toc6091"/>
    </w:p>
    <w:p>
      <w:pPr>
        <w:spacing w:line="560" w:lineRule="exact"/>
        <w:ind w:firstLine="640" w:firstLineChars="200"/>
        <w:rPr>
          <w:rFonts w:ascii="Times New Roman" w:hAnsi="Times New Roman" w:eastAsia="楷体" w:cs="Times New Roman"/>
          <w:sz w:val="32"/>
          <w:szCs w:val="32"/>
        </w:rPr>
      </w:pPr>
    </w:p>
    <w:p>
      <w:pPr>
        <w:spacing w:line="560" w:lineRule="exact"/>
        <w:ind w:firstLine="640" w:firstLineChars="200"/>
        <w:rPr>
          <w:rFonts w:ascii="Times New Roman" w:hAnsi="Times New Roman" w:eastAsia="楷体" w:cs="Times New Roman"/>
          <w:sz w:val="32"/>
          <w:szCs w:val="32"/>
        </w:rPr>
      </w:pPr>
    </w:p>
    <w:p>
      <w:pPr>
        <w:spacing w:line="56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（四）土地集约利用状况年度变化分析</w:t>
      </w:r>
      <w:bookmarkEnd w:id="18"/>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结合多年度开发区土地集约利用全面评价、监测统计及</w:t>
      </w:r>
      <w:r>
        <w:rPr>
          <w:rFonts w:hint="eastAsia" w:ascii="Times New Roman" w:hAnsi="Times New Roman" w:eastAsia="仿宋_GB2312" w:cs="Times New Roman"/>
          <w:sz w:val="32"/>
          <w:szCs w:val="32"/>
        </w:rPr>
        <w:t>产业园用地情况总调查等成果</w:t>
      </w:r>
      <w:r>
        <w:rPr>
          <w:rFonts w:ascii="Times New Roman" w:hAnsi="Times New Roman" w:eastAsia="仿宋_GB2312" w:cs="Times New Roman"/>
          <w:sz w:val="32"/>
          <w:szCs w:val="32"/>
        </w:rPr>
        <w:t>，从土地利用状况、用地效益、管理绩效等方面，分析不同时点全省各级各类开发区土地集约利用总体状况的变化情况及差异。</w:t>
      </w:r>
    </w:p>
    <w:p>
      <w:pPr>
        <w:spacing w:line="560" w:lineRule="exact"/>
        <w:ind w:firstLine="640" w:firstLineChars="200"/>
        <w:rPr>
          <w:rFonts w:ascii="Times New Roman" w:hAnsi="Times New Roman" w:eastAsia="楷体" w:cs="Times New Roman"/>
          <w:sz w:val="32"/>
          <w:szCs w:val="32"/>
        </w:rPr>
      </w:pPr>
      <w:bookmarkStart w:id="19" w:name="_Toc20960"/>
      <w:r>
        <w:rPr>
          <w:rFonts w:ascii="Times New Roman" w:hAnsi="Times New Roman" w:eastAsia="楷体" w:cs="Times New Roman"/>
          <w:sz w:val="32"/>
          <w:szCs w:val="32"/>
        </w:rPr>
        <w:t>（五）问题分析与对策建议</w:t>
      </w:r>
      <w:bookmarkEnd w:id="19"/>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总结提炼省域内</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土地集约利用状况及变化特征，分析</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土地集约利用和管理成效、存在主要问题及原因，针对性地提出规范加强用地管理、促进开发区节约集约用地</w:t>
      </w:r>
      <w:r>
        <w:rPr>
          <w:rFonts w:hint="eastAsia" w:ascii="Times New Roman" w:hAnsi="Times New Roman" w:eastAsia="仿宋_GB2312" w:cs="Times New Roman"/>
          <w:sz w:val="32"/>
          <w:szCs w:val="32"/>
          <w:lang w:eastAsia="zh-CN"/>
        </w:rPr>
        <w:t>、盘或低效土地</w:t>
      </w:r>
      <w:r>
        <w:rPr>
          <w:rFonts w:ascii="Times New Roman" w:hAnsi="Times New Roman" w:eastAsia="仿宋_GB2312" w:cs="Times New Roman"/>
          <w:sz w:val="32"/>
          <w:szCs w:val="32"/>
        </w:rPr>
        <w:t>的对策建议。</w:t>
      </w:r>
    </w:p>
    <w:p>
      <w:pPr>
        <w:spacing w:line="560" w:lineRule="exact"/>
        <w:ind w:firstLine="640" w:firstLineChars="200"/>
        <w:rPr>
          <w:rFonts w:ascii="Times New Roman" w:hAnsi="Times New Roman" w:eastAsia="黑体" w:cs="Times New Roman"/>
          <w:sz w:val="32"/>
          <w:szCs w:val="32"/>
        </w:rPr>
      </w:pPr>
      <w:bookmarkStart w:id="20" w:name="_Toc23207"/>
      <w:r>
        <w:rPr>
          <w:rFonts w:ascii="Times New Roman" w:hAnsi="Times New Roman" w:eastAsia="黑体" w:cs="Times New Roman"/>
          <w:sz w:val="32"/>
          <w:szCs w:val="32"/>
        </w:rPr>
        <w:t>四、成果要求</w:t>
      </w:r>
      <w:bookmarkEnd w:id="20"/>
    </w:p>
    <w:p>
      <w:pPr>
        <w:spacing w:line="560" w:lineRule="exact"/>
        <w:ind w:firstLine="640" w:firstLineChars="200"/>
        <w:rPr>
          <w:rFonts w:ascii="Times New Roman" w:hAnsi="Times New Roman" w:eastAsia="楷体" w:cs="Times New Roman"/>
          <w:sz w:val="32"/>
          <w:szCs w:val="32"/>
        </w:rPr>
      </w:pPr>
      <w:bookmarkStart w:id="21" w:name="_Toc4459"/>
      <w:r>
        <w:rPr>
          <w:rFonts w:ascii="Times New Roman" w:hAnsi="Times New Roman" w:eastAsia="楷体" w:cs="Times New Roman"/>
          <w:sz w:val="32"/>
          <w:szCs w:val="32"/>
        </w:rPr>
        <w:t>（一）成果内容</w:t>
      </w:r>
      <w:bookmarkEnd w:id="21"/>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bookmarkStart w:id="22" w:name="_Toc14177"/>
      <w:bookmarkStart w:id="23" w:name="_Toc22341"/>
      <w:r>
        <w:rPr>
          <w:rFonts w:hint="eastAsia" w:ascii="Times New Roman" w:hAnsi="Times New Roman" w:eastAsia="仿宋_GB2312" w:cs="Times New Roman"/>
          <w:sz w:val="32"/>
          <w:szCs w:val="32"/>
          <w:lang w:val="en-US" w:eastAsia="zh-CN"/>
        </w:rPr>
        <w:t>1.开发区土地集约利用监测统计成果数据</w:t>
      </w:r>
      <w:bookmarkEnd w:id="22"/>
      <w:bookmarkEnd w:id="23"/>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经审核软件审核通过的开发区监测统计成果数据。</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bookmarkStart w:id="24" w:name="_Toc28405"/>
      <w:bookmarkStart w:id="25" w:name="_Toc21286"/>
      <w:r>
        <w:rPr>
          <w:rFonts w:hint="eastAsia" w:ascii="Times New Roman" w:hAnsi="Times New Roman" w:eastAsia="仿宋_GB2312" w:cs="Times New Roman"/>
          <w:sz w:val="32"/>
          <w:szCs w:val="32"/>
          <w:lang w:val="en-US" w:eastAsia="zh-CN"/>
        </w:rPr>
        <w:t>2.开发区土地集约利用状况省级汇总分析报告</w:t>
      </w:r>
      <w:bookmarkEnd w:id="24"/>
      <w:bookmarkEnd w:id="25"/>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包括但不限于以下内容：监测统计工作开展情况、</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基本情况、基础数据来源与核实情况、土地利用状况分析、土地集约利用状况分析、不同评价时点结果对比分析、节约集约用地管理成效与问题、对策建议等。</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bookmarkStart w:id="26" w:name="_Toc24318"/>
      <w:bookmarkStart w:id="27" w:name="_Toc8239"/>
      <w:r>
        <w:rPr>
          <w:rFonts w:hint="eastAsia" w:ascii="Times New Roman" w:hAnsi="Times New Roman" w:eastAsia="仿宋_GB2312" w:cs="Times New Roman"/>
          <w:sz w:val="32"/>
          <w:szCs w:val="32"/>
          <w:lang w:val="en-US" w:eastAsia="zh-CN"/>
        </w:rPr>
        <w:t>3.开发区土地集约利用监测统计范围边界矢量</w:t>
      </w:r>
      <w:bookmarkEnd w:id="26"/>
      <w:r>
        <w:rPr>
          <w:rFonts w:hint="eastAsia" w:ascii="Times New Roman" w:hAnsi="Times New Roman" w:eastAsia="仿宋_GB2312" w:cs="Times New Roman"/>
          <w:sz w:val="32"/>
          <w:szCs w:val="32"/>
          <w:lang w:val="en-US" w:eastAsia="zh-CN"/>
        </w:rPr>
        <w:t>数据</w:t>
      </w:r>
      <w:bookmarkEnd w:id="27"/>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一类产业园</w:t>
      </w:r>
      <w:r>
        <w:rPr>
          <w:rFonts w:ascii="Times New Roman" w:hAnsi="Times New Roman" w:eastAsia="仿宋_GB2312" w:cs="Times New Roman"/>
          <w:sz w:val="32"/>
          <w:szCs w:val="32"/>
        </w:rPr>
        <w:t>需提供</w:t>
      </w:r>
      <w:r>
        <w:rPr>
          <w:rFonts w:hint="eastAsia" w:ascii="Times New Roman" w:hAnsi="Times New Roman" w:eastAsia="仿宋_GB2312" w:cs="Times New Roman"/>
          <w:sz w:val="32"/>
          <w:szCs w:val="32"/>
          <w:lang w:eastAsia="zh-CN"/>
        </w:rPr>
        <w:t>审批</w:t>
      </w:r>
      <w:r>
        <w:rPr>
          <w:rFonts w:ascii="Times New Roman" w:hAnsi="Times New Roman" w:eastAsia="仿宋_GB2312" w:cs="Times New Roman"/>
          <w:sz w:val="32"/>
          <w:szCs w:val="32"/>
        </w:rPr>
        <w:t>范围、实际管理范围边界矢量数据</w:t>
      </w:r>
      <w:r>
        <w:rPr>
          <w:rFonts w:hint="eastAsia" w:ascii="Times New Roman" w:hAnsi="Times New Roman" w:eastAsia="仿宋_GB2312" w:cs="Times New Roman"/>
          <w:sz w:val="32"/>
          <w:szCs w:val="32"/>
        </w:rPr>
        <w:t>，二类产业园</w:t>
      </w:r>
      <w:r>
        <w:rPr>
          <w:rFonts w:ascii="Times New Roman" w:hAnsi="Times New Roman" w:eastAsia="仿宋_GB2312" w:cs="Times New Roman"/>
          <w:sz w:val="32"/>
          <w:szCs w:val="32"/>
        </w:rPr>
        <w:t>需提供实际管理范围边界矢量数据。</w:t>
      </w:r>
      <w:r>
        <w:rPr>
          <w:rFonts w:hint="eastAsia" w:ascii="Times New Roman" w:hAnsi="Times New Roman" w:eastAsia="仿宋_GB2312" w:cs="Times New Roman"/>
          <w:sz w:val="32"/>
          <w:szCs w:val="32"/>
        </w:rPr>
        <w:t>矢量</w:t>
      </w:r>
      <w:r>
        <w:rPr>
          <w:rFonts w:ascii="Times New Roman" w:hAnsi="Times New Roman" w:eastAsia="仿宋_GB2312" w:cs="Times New Roman"/>
          <w:sz w:val="32"/>
          <w:szCs w:val="32"/>
        </w:rPr>
        <w:t>数据统一采用CGCS2000国家大地坐标系。矢量属性信息包括开发区代码、名称、所属市、县。</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批准范围或实际管理范围较202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年度有变动的，需提供有关部门证明文件扫描件。</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bookmarkStart w:id="28" w:name="_Toc14028"/>
      <w:r>
        <w:rPr>
          <w:rFonts w:hint="eastAsia" w:ascii="Times New Roman" w:hAnsi="Times New Roman" w:eastAsia="仿宋_GB2312" w:cs="Times New Roman"/>
          <w:sz w:val="32"/>
          <w:szCs w:val="32"/>
          <w:lang w:val="en-US" w:eastAsia="zh-CN"/>
        </w:rPr>
        <w:t>4.开发区土地集约利用监测统计范围示意图</w:t>
      </w:r>
      <w:bookmarkEnd w:id="28"/>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bookmarkStart w:id="29" w:name="OLE_LINK2"/>
      <w:r>
        <w:rPr>
          <w:rFonts w:hint="eastAsia" w:ascii="Times New Roman" w:hAnsi="Times New Roman" w:eastAsia="仿宋_GB2312" w:cs="Times New Roman"/>
          <w:sz w:val="32"/>
          <w:szCs w:val="32"/>
        </w:rPr>
        <w:t>一类产业园监测统计范围示意图应包括</w:t>
      </w:r>
      <w:r>
        <w:rPr>
          <w:rFonts w:hint="eastAsia" w:ascii="Times New Roman" w:hAnsi="Times New Roman" w:eastAsia="仿宋_GB2312" w:cs="Times New Roman"/>
          <w:sz w:val="32"/>
          <w:szCs w:val="32"/>
          <w:lang w:eastAsia="zh-CN"/>
        </w:rPr>
        <w:t>审批</w:t>
      </w:r>
      <w:r>
        <w:rPr>
          <w:rFonts w:ascii="Times New Roman" w:hAnsi="Times New Roman" w:eastAsia="仿宋_GB2312" w:cs="Times New Roman"/>
          <w:sz w:val="32"/>
          <w:szCs w:val="32"/>
        </w:rPr>
        <w:t>范围和实际管理范围</w:t>
      </w:r>
      <w:r>
        <w:rPr>
          <w:rFonts w:hint="eastAsia" w:ascii="Times New Roman" w:hAnsi="Times New Roman" w:eastAsia="仿宋_GB2312" w:cs="Times New Roman"/>
          <w:sz w:val="32"/>
          <w:szCs w:val="32"/>
        </w:rPr>
        <w:t>，二类产业园监测统计范围示意图应包括</w:t>
      </w:r>
      <w:r>
        <w:rPr>
          <w:rFonts w:ascii="Times New Roman" w:hAnsi="Times New Roman" w:eastAsia="仿宋_GB2312" w:cs="Times New Roman"/>
          <w:sz w:val="32"/>
          <w:szCs w:val="32"/>
        </w:rPr>
        <w:t>实际管理范围</w:t>
      </w:r>
      <w:bookmarkEnd w:id="29"/>
      <w:r>
        <w:rPr>
          <w:rFonts w:ascii="Times New Roman" w:hAnsi="Times New Roman" w:eastAsia="仿宋_GB2312" w:cs="Times New Roman"/>
          <w:sz w:val="32"/>
          <w:szCs w:val="32"/>
        </w:rPr>
        <w:t>（附件</w:t>
      </w:r>
      <w:r>
        <w:rPr>
          <w:rFonts w:hint="eastAsia" w:ascii="Times New Roman" w:hAnsi="Times New Roman" w:eastAsia="仿宋_GB2312" w:cs="Times New Roman"/>
          <w:sz w:val="32"/>
          <w:szCs w:val="32"/>
          <w:lang w:val="en-US" w:eastAsia="zh-CN"/>
        </w:rPr>
        <w:t>B</w:t>
      </w:r>
      <w:r>
        <w:rPr>
          <w:rFonts w:ascii="Times New Roman" w:hAnsi="Times New Roman" w:eastAsia="仿宋_GB2312" w:cs="Times New Roman"/>
          <w:sz w:val="32"/>
          <w:szCs w:val="32"/>
        </w:rPr>
        <w:t>）。</w:t>
      </w:r>
    </w:p>
    <w:p>
      <w:pPr>
        <w:spacing w:line="560" w:lineRule="exact"/>
        <w:ind w:firstLine="640" w:firstLineChars="200"/>
        <w:rPr>
          <w:rFonts w:ascii="Times New Roman" w:hAnsi="Times New Roman" w:eastAsia="楷体" w:cs="Times New Roman"/>
          <w:sz w:val="32"/>
          <w:szCs w:val="32"/>
        </w:rPr>
      </w:pPr>
      <w:bookmarkStart w:id="30" w:name="_Toc31272"/>
      <w:r>
        <w:rPr>
          <w:rFonts w:ascii="Times New Roman" w:hAnsi="Times New Roman" w:eastAsia="楷体" w:cs="Times New Roman"/>
          <w:sz w:val="32"/>
          <w:szCs w:val="32"/>
        </w:rPr>
        <w:t>（二）成果提交形式</w:t>
      </w:r>
      <w:bookmarkEnd w:id="30"/>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监测统计成果数据提交mdb格式文件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省级汇总分析报告提交doc或docx格式文件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监测统计范围</w:t>
      </w:r>
      <w:r>
        <w:rPr>
          <w:rFonts w:ascii="Times New Roman" w:hAnsi="Times New Roman" w:eastAsia="仿宋_GB2312" w:cs="仿宋_GB2312"/>
          <w:sz w:val="32"/>
          <w:szCs w:val="32"/>
        </w:rPr>
        <w:t>边界矢量数据</w:t>
      </w:r>
      <w:r>
        <w:rPr>
          <w:rFonts w:ascii="Times New Roman" w:hAnsi="Times New Roman" w:eastAsia="仿宋_GB2312" w:cs="Times New Roman"/>
          <w:sz w:val="32"/>
          <w:szCs w:val="32"/>
        </w:rPr>
        <w:t>提交shp格式文件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监测统计范围示意图提交jpg格式文件，其他证明</w:t>
      </w:r>
      <w:r>
        <w:rPr>
          <w:rFonts w:hint="eastAsia" w:ascii="Times New Roman" w:hAnsi="Times New Roman" w:eastAsia="仿宋_GB2312" w:cs="Times New Roman"/>
          <w:sz w:val="32"/>
          <w:szCs w:val="32"/>
        </w:rPr>
        <w:t>材料</w:t>
      </w:r>
      <w:r>
        <w:rPr>
          <w:rFonts w:ascii="Times New Roman" w:hAnsi="Times New Roman" w:eastAsia="仿宋_GB2312" w:cs="Times New Roman"/>
          <w:sz w:val="32"/>
          <w:szCs w:val="32"/>
        </w:rPr>
        <w:t>提交</w:t>
      </w:r>
      <w:bookmarkStart w:id="31" w:name="OLE_LINK3"/>
      <w:r>
        <w:rPr>
          <w:rFonts w:ascii="Times New Roman" w:hAnsi="Times New Roman" w:eastAsia="仿宋_GB2312" w:cs="Times New Roman"/>
          <w:sz w:val="32"/>
          <w:szCs w:val="32"/>
        </w:rPr>
        <w:t>pdf</w:t>
      </w:r>
      <w:bookmarkEnd w:id="31"/>
      <w:r>
        <w:rPr>
          <w:rFonts w:ascii="Times New Roman" w:hAnsi="Times New Roman" w:eastAsia="仿宋_GB2312" w:cs="Times New Roman"/>
          <w:sz w:val="32"/>
          <w:szCs w:val="32"/>
        </w:rPr>
        <w:t>格式文件。</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560" w:lineRule="exact"/>
        <w:jc w:val="left"/>
        <w:rPr>
          <w:rFonts w:hint="eastAsia" w:ascii="黑体" w:hAnsi="黑体" w:eastAsia="黑体" w:cs="黑体"/>
          <w:sz w:val="36"/>
          <w:szCs w:val="36"/>
        </w:rPr>
      </w:pPr>
      <w:bookmarkStart w:id="32" w:name="_Toc11880"/>
      <w:r>
        <w:rPr>
          <w:rFonts w:hint="eastAsia" w:ascii="黑体" w:hAnsi="黑体" w:eastAsia="黑体" w:cs="黑体"/>
          <w:sz w:val="36"/>
          <w:szCs w:val="36"/>
        </w:rPr>
        <w:t>附件</w:t>
      </w:r>
      <w:r>
        <w:rPr>
          <w:rFonts w:hint="default" w:ascii="Times New Roman" w:hAnsi="Times New Roman" w:eastAsia="黑体" w:cs="Times New Roman"/>
          <w:sz w:val="36"/>
          <w:szCs w:val="36"/>
          <w:lang w:val="en-US" w:eastAsia="zh-CN"/>
        </w:rPr>
        <w:t>A</w:t>
      </w:r>
      <w:r>
        <w:rPr>
          <w:rFonts w:hint="eastAsia" w:ascii="黑体" w:hAnsi="黑体" w:eastAsia="黑体" w:cs="黑体"/>
          <w:sz w:val="36"/>
          <w:szCs w:val="36"/>
        </w:rPr>
        <w:t xml:space="preserve">  </w:t>
      </w:r>
    </w:p>
    <w:p>
      <w:pPr>
        <w:spacing w:line="560" w:lineRule="exact"/>
        <w:jc w:val="left"/>
        <w:rPr>
          <w:rFonts w:hint="eastAsia" w:ascii="黑体" w:hAnsi="黑体" w:eastAsia="黑体" w:cs="黑体"/>
          <w:sz w:val="36"/>
          <w:szCs w:val="36"/>
        </w:rPr>
      </w:pPr>
    </w:p>
    <w:p>
      <w:pPr>
        <w:bidi w:val="0"/>
        <w:jc w:val="center"/>
        <w:rPr>
          <w:rFonts w:hint="eastAsia" w:ascii="黑体" w:hAnsi="黑体" w:eastAsia="黑体" w:cs="黑体"/>
          <w:sz w:val="32"/>
          <w:szCs w:val="32"/>
          <w:lang w:eastAsia="zh-CN"/>
        </w:rPr>
      </w:pPr>
      <w:r>
        <w:rPr>
          <w:rFonts w:hint="eastAsia" w:ascii="黑体" w:hAnsi="黑体" w:eastAsia="黑体" w:cs="黑体"/>
          <w:sz w:val="32"/>
          <w:szCs w:val="32"/>
        </w:rPr>
        <w:t>开发区土地集约利用监测统计基础数据</w:t>
      </w:r>
      <w:bookmarkEnd w:id="32"/>
      <w:r>
        <w:rPr>
          <w:rFonts w:hint="eastAsia" w:ascii="黑体" w:hAnsi="黑体" w:eastAsia="黑体" w:cs="黑体"/>
          <w:sz w:val="32"/>
          <w:szCs w:val="32"/>
          <w:lang w:eastAsia="zh-CN"/>
        </w:rPr>
        <w:t>表</w:t>
      </w:r>
    </w:p>
    <w:p>
      <w:pPr>
        <w:spacing w:before="156" w:beforeLines="50" w:after="156" w:afterLines="50"/>
        <w:ind w:firstLine="0" w:firstLineChars="0"/>
        <w:jc w:val="center"/>
        <w:rPr>
          <w:rFonts w:ascii="Times New Roman" w:hAnsi="Times New Roman" w:eastAsia="黑体" w:cs="Times New Roman"/>
          <w:bCs/>
          <w:sz w:val="24"/>
          <w:szCs w:val="24"/>
        </w:rPr>
      </w:pPr>
      <w:r>
        <w:rPr>
          <w:rFonts w:ascii="Times New Roman" w:hAnsi="Times New Roman" w:eastAsia="黑体" w:cs="Times New Roman"/>
          <w:bCs/>
          <w:color w:val="000000"/>
          <w:kern w:val="21"/>
          <w:sz w:val="24"/>
          <w:szCs w:val="24"/>
        </w:rPr>
        <w:t>附表1  一类产业园土地集约利用监测统计基础数据表</w:t>
      </w:r>
    </w:p>
    <w:tbl>
      <w:tblPr>
        <w:tblStyle w:val="8"/>
        <w:tblpPr w:leftFromText="180" w:rightFromText="180" w:vertAnchor="text" w:horzAnchor="page" w:tblpXSpec="center" w:tblpY="346"/>
        <w:tblOverlap w:val="never"/>
        <w:tblW w:w="9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83"/>
        <w:gridCol w:w="1532"/>
        <w:gridCol w:w="1156"/>
        <w:gridCol w:w="1087"/>
        <w:gridCol w:w="1738"/>
        <w:gridCol w:w="1606"/>
        <w:gridCol w:w="1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4"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开发区代码</w:t>
            </w:r>
          </w:p>
        </w:tc>
        <w:tc>
          <w:tcPr>
            <w:tcW w:w="859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开发区名称</w:t>
            </w:r>
          </w:p>
        </w:tc>
        <w:tc>
          <w:tcPr>
            <w:tcW w:w="859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省</w:t>
            </w:r>
            <w:r>
              <w:rPr>
                <w:rFonts w:hint="default" w:ascii="Times New Roman" w:hAnsi="Times New Roman" w:eastAsia="仿宋_GB2312" w:cs="Times New Roman"/>
                <w:color w:val="000000"/>
                <w:sz w:val="21"/>
                <w:szCs w:val="21"/>
                <w:u w:val="none"/>
                <w:lang w:val="en-US" w:eastAsia="zh-CN" w:bidi="ar"/>
              </w:rPr>
              <w:t xml:space="preserve">  份</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市（地）</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县（市、区）</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类</w:t>
            </w:r>
            <w:r>
              <w:rPr>
                <w:rFonts w:hint="default" w:ascii="Times New Roman" w:hAnsi="Times New Roman" w:eastAsia="仿宋_GB2312" w:cs="Times New Roman"/>
                <w:color w:val="000000"/>
                <w:sz w:val="21"/>
                <w:szCs w:val="21"/>
                <w:u w:val="none"/>
                <w:lang w:val="en-US" w:eastAsia="zh-CN" w:bidi="ar"/>
              </w:rPr>
              <w:t xml:space="preserve">  别</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r>
              <w:rPr>
                <w:rFonts w:hint="default" w:ascii="Times New Roman" w:hAnsi="Times New Roman" w:eastAsia="仿宋_GB2312" w:cs="Times New Roman"/>
                <w:color w:val="000000"/>
                <w:sz w:val="21"/>
                <w:szCs w:val="21"/>
                <w:u w:val="none"/>
                <w:lang w:val="en-US" w:eastAsia="zh-CN" w:bidi="ar"/>
              </w:rPr>
              <w:t xml:space="preserve">  </w:t>
            </w:r>
            <w:r>
              <w:rPr>
                <w:rStyle w:val="21"/>
                <w:rFonts w:hint="default" w:ascii="Times New Roman" w:hAnsi="Times New Roman" w:eastAsia="仿宋_GB2312" w:cs="Times New Roman"/>
                <w:sz w:val="21"/>
                <w:szCs w:val="21"/>
                <w:lang w:val="en-US" w:eastAsia="zh-CN" w:bidi="ar"/>
              </w:rPr>
              <w:t>目</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批准范围</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城镇开发边界内</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实际管理范围</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备</w:t>
            </w:r>
            <w:r>
              <w:rPr>
                <w:rFonts w:hint="default" w:ascii="Times New Roman" w:hAnsi="Times New Roman" w:eastAsia="仿宋_GB2312" w:cs="Times New Roman"/>
                <w:color w:val="000000"/>
                <w:sz w:val="21"/>
                <w:szCs w:val="21"/>
                <w:u w:val="none"/>
                <w:lang w:val="en-US" w:eastAsia="zh-CN" w:bidi="ar"/>
              </w:rPr>
              <w:t xml:space="preserve">  </w:t>
            </w:r>
            <w:r>
              <w:rPr>
                <w:rStyle w:val="21"/>
                <w:rFonts w:hint="default" w:ascii="Times New Roman" w:hAnsi="Times New Roman" w:eastAsia="仿宋_GB2312" w:cs="Times New Roman"/>
                <w:sz w:val="21"/>
                <w:szCs w:val="21"/>
                <w:lang w:val="en-US" w:eastAsia="zh-CN" w:bidi="ar"/>
              </w:rPr>
              <w:t>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土地利用状况数据</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土地总面积（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规划建设用地面积（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已批准征收土地面积（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已批准转用土地面积（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已到达供地条件的土地面积（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已供应国有建设用地面积（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已建成城镇建设用地面积（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工矿仓储用地面积（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住宅用地面积（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不可建设土地面积（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批而未供土地面积（</w:t>
            </w:r>
            <w:r>
              <w:rPr>
                <w:rStyle w:val="22"/>
                <w:rFonts w:hint="default" w:ascii="Times New Roman" w:hAnsi="Times New Roman" w:eastAsia="仿宋_GB2312" w:cs="Times New Roman"/>
                <w:sz w:val="21"/>
                <w:szCs w:val="21"/>
                <w:lang w:val="en-US" w:eastAsia="zh-CN" w:bidi="ar"/>
              </w:rPr>
              <w:t>hm²</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闲置土地面积（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社会经济状况数据</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常住人口（人）</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w:t>
            </w:r>
            <w:r>
              <w:rPr>
                <w:rStyle w:val="23"/>
                <w:rFonts w:hint="default" w:ascii="Times New Roman" w:hAnsi="Times New Roman" w:eastAsia="仿宋_GB2312" w:cs="Times New Roman"/>
                <w:sz w:val="21"/>
                <w:szCs w:val="21"/>
                <w:lang w:val="en-US" w:eastAsia="zh-CN" w:bidi="ar"/>
              </w:rPr>
              <w:t>业</w:t>
            </w:r>
            <w:r>
              <w:rPr>
                <w:rStyle w:val="21"/>
                <w:rFonts w:hint="default" w:ascii="Times New Roman" w:hAnsi="Times New Roman" w:eastAsia="仿宋_GB2312" w:cs="Times New Roman"/>
                <w:sz w:val="21"/>
                <w:szCs w:val="21"/>
                <w:lang w:val="en-US" w:eastAsia="zh-CN" w:bidi="ar"/>
              </w:rPr>
              <w:t>（物流）企</w:t>
            </w:r>
            <w:r>
              <w:rPr>
                <w:rStyle w:val="23"/>
                <w:rFonts w:hint="default" w:ascii="Times New Roman" w:hAnsi="Times New Roman" w:eastAsia="仿宋_GB2312" w:cs="Times New Roman"/>
                <w:sz w:val="21"/>
                <w:szCs w:val="21"/>
                <w:lang w:val="en-US" w:eastAsia="zh-CN" w:bidi="ar"/>
              </w:rPr>
              <w:t>业</w:t>
            </w:r>
            <w:r>
              <w:rPr>
                <w:rStyle w:val="21"/>
                <w:rFonts w:hint="default" w:ascii="Times New Roman" w:hAnsi="Times New Roman" w:eastAsia="仿宋_GB2312" w:cs="Times New Roman"/>
                <w:sz w:val="21"/>
                <w:szCs w:val="21"/>
                <w:lang w:val="en-US" w:eastAsia="zh-CN" w:bidi="ar"/>
              </w:rPr>
              <w:t>固定</w:t>
            </w:r>
            <w:r>
              <w:rPr>
                <w:rStyle w:val="23"/>
                <w:rFonts w:hint="default" w:ascii="Times New Roman" w:hAnsi="Times New Roman" w:eastAsia="仿宋_GB2312" w:cs="Times New Roman"/>
                <w:sz w:val="21"/>
                <w:szCs w:val="21"/>
                <w:lang w:val="en-US" w:eastAsia="zh-CN" w:bidi="ar"/>
              </w:rPr>
              <w:t>资产</w:t>
            </w:r>
            <w:r>
              <w:rPr>
                <w:rStyle w:val="21"/>
                <w:rFonts w:hint="default" w:ascii="Times New Roman" w:hAnsi="Times New Roman" w:eastAsia="仿宋_GB2312" w:cs="Times New Roman"/>
                <w:sz w:val="21"/>
                <w:szCs w:val="21"/>
                <w:lang w:val="en-US" w:eastAsia="zh-CN" w:bidi="ar"/>
              </w:rPr>
              <w:t>投</w:t>
            </w:r>
            <w:r>
              <w:rPr>
                <w:rStyle w:val="23"/>
                <w:rFonts w:hint="default" w:ascii="Times New Roman" w:hAnsi="Times New Roman" w:eastAsia="仿宋_GB2312" w:cs="Times New Roman"/>
                <w:sz w:val="21"/>
                <w:szCs w:val="21"/>
                <w:lang w:val="en-US" w:eastAsia="zh-CN" w:bidi="ar"/>
              </w:rPr>
              <w:t>资总额（万元）</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二、三产业税收总额（万元）</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2022</w:t>
            </w:r>
            <w:r>
              <w:rPr>
                <w:rStyle w:val="23"/>
                <w:rFonts w:hint="default" w:ascii="Times New Roman" w:hAnsi="Times New Roman" w:eastAsia="仿宋_GB2312" w:cs="Times New Roman"/>
                <w:sz w:val="21"/>
                <w:szCs w:val="21"/>
                <w:lang w:val="en-US" w:eastAsia="zh-CN" w:bidi="ar"/>
              </w:rPr>
              <w:t>年全年数据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工业（物流）企业总收入（万元）</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2022</w:t>
            </w:r>
            <w:r>
              <w:rPr>
                <w:rStyle w:val="23"/>
                <w:rFonts w:hint="default" w:ascii="Times New Roman" w:hAnsi="Times New Roman" w:eastAsia="仿宋_GB2312" w:cs="Times New Roman"/>
                <w:sz w:val="21"/>
                <w:szCs w:val="21"/>
                <w:lang w:val="en-US" w:eastAsia="zh-CN" w:bidi="ar"/>
              </w:rPr>
              <w:t>年全年数据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w:t>
            </w:r>
            <w:r>
              <w:rPr>
                <w:rStyle w:val="23"/>
                <w:rFonts w:hint="default" w:ascii="Times New Roman" w:hAnsi="Times New Roman" w:eastAsia="仿宋_GB2312" w:cs="Times New Roman"/>
                <w:sz w:val="21"/>
                <w:szCs w:val="21"/>
                <w:lang w:val="en-US" w:eastAsia="zh-CN" w:bidi="ar"/>
              </w:rPr>
              <w:t>业</w:t>
            </w:r>
            <w:r>
              <w:rPr>
                <w:rStyle w:val="21"/>
                <w:rFonts w:hint="default" w:ascii="Times New Roman" w:hAnsi="Times New Roman" w:eastAsia="仿宋_GB2312" w:cs="Times New Roman"/>
                <w:sz w:val="21"/>
                <w:szCs w:val="21"/>
                <w:lang w:val="en-US" w:eastAsia="zh-CN" w:bidi="ar"/>
              </w:rPr>
              <w:t>（物流）企</w:t>
            </w:r>
            <w:r>
              <w:rPr>
                <w:rStyle w:val="23"/>
                <w:rFonts w:hint="default" w:ascii="Times New Roman" w:hAnsi="Times New Roman" w:eastAsia="仿宋_GB2312" w:cs="Times New Roman"/>
                <w:sz w:val="21"/>
                <w:szCs w:val="21"/>
                <w:lang w:val="en-US" w:eastAsia="zh-CN" w:bidi="ar"/>
              </w:rPr>
              <w:t>业税</w:t>
            </w:r>
            <w:r>
              <w:rPr>
                <w:rStyle w:val="21"/>
                <w:rFonts w:hint="default" w:ascii="Times New Roman" w:hAnsi="Times New Roman" w:eastAsia="仿宋_GB2312" w:cs="Times New Roman"/>
                <w:sz w:val="21"/>
                <w:szCs w:val="21"/>
                <w:lang w:val="en-US" w:eastAsia="zh-CN" w:bidi="ar"/>
              </w:rPr>
              <w:t>收</w:t>
            </w:r>
            <w:r>
              <w:rPr>
                <w:rStyle w:val="23"/>
                <w:rFonts w:hint="default" w:ascii="Times New Roman" w:hAnsi="Times New Roman" w:eastAsia="仿宋_GB2312" w:cs="Times New Roman"/>
                <w:sz w:val="21"/>
                <w:szCs w:val="21"/>
                <w:lang w:val="en-US" w:eastAsia="zh-CN" w:bidi="ar"/>
              </w:rPr>
              <w:t>总额（万元）</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2022</w:t>
            </w:r>
            <w:r>
              <w:rPr>
                <w:rStyle w:val="23"/>
                <w:rFonts w:hint="default" w:ascii="Times New Roman" w:hAnsi="Times New Roman" w:eastAsia="仿宋_GB2312" w:cs="Times New Roman"/>
                <w:sz w:val="21"/>
                <w:szCs w:val="21"/>
                <w:lang w:val="en-US" w:eastAsia="zh-CN" w:bidi="ar"/>
              </w:rPr>
              <w:t>年全年数据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建筑工程状况数据</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总建筑面积（万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工矿仓储用地总建筑面积（万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建筑基底总面积（万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工矿仓储用地建筑物构筑物基底面积、露天堆场和露天操作场地面积（万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bl>
    <w:p>
      <w:pPr>
        <w:spacing w:before="156" w:beforeLines="50" w:after="156" w:afterLines="50"/>
        <w:ind w:firstLine="0" w:firstLineChars="0"/>
        <w:jc w:val="right"/>
        <w:rPr>
          <w:rFonts w:hint="eastAsia" w:ascii="楷体_GB2312" w:hAnsi="楷体_GB2312" w:eastAsia="楷体_GB2312" w:cs="楷体_GB2312"/>
          <w:color w:val="000000"/>
          <w:sz w:val="21"/>
          <w:szCs w:val="18"/>
          <w:lang w:eastAsia="zh-CN"/>
        </w:rPr>
      </w:pPr>
      <w:r>
        <w:rPr>
          <w:rFonts w:hint="eastAsia" w:ascii="楷体_GB2312" w:hAnsi="楷体_GB2312" w:eastAsia="楷体_GB2312" w:cs="楷体_GB2312"/>
          <w:color w:val="000000"/>
          <w:sz w:val="21"/>
          <w:szCs w:val="18"/>
          <w:lang w:eastAsia="zh-CN"/>
        </w:rPr>
        <w:t>填报单位（盖章）：</w:t>
      </w:r>
    </w:p>
    <w:p>
      <w:pPr>
        <w:spacing w:line="360" w:lineRule="auto"/>
        <w:ind w:left="0" w:leftChars="0" w:firstLine="0" w:firstLineChars="0"/>
        <w:rPr>
          <w:rFonts w:ascii="宋体" w:hAnsi="宋体" w:eastAsia="宋体" w:cs="仿宋_GB2312"/>
          <w:color w:val="000000"/>
          <w:sz w:val="18"/>
          <w:szCs w:val="18"/>
        </w:rPr>
      </w:pPr>
    </w:p>
    <w:p>
      <w:pPr>
        <w:ind w:left="0" w:leftChars="0" w:firstLine="0" w:firstLineChars="0"/>
        <w:rPr>
          <w:rFonts w:ascii="宋体" w:hAnsi="宋体" w:eastAsia="宋体" w:cs="仿宋_GB2312"/>
          <w:color w:val="000000"/>
          <w:sz w:val="18"/>
          <w:szCs w:val="18"/>
        </w:rPr>
      </w:pPr>
      <w:r>
        <w:rPr>
          <w:rFonts w:ascii="宋体" w:hAnsi="宋体" w:eastAsia="宋体" w:cs="仿宋_GB2312"/>
          <w:color w:val="000000"/>
          <w:sz w:val="18"/>
          <w:szCs w:val="18"/>
        </w:rPr>
        <w:br w:type="page"/>
      </w:r>
    </w:p>
    <w:p>
      <w:pPr>
        <w:spacing w:before="156" w:beforeLines="50" w:after="156" w:afterLines="50"/>
        <w:ind w:firstLine="0" w:firstLineChars="0"/>
        <w:jc w:val="center"/>
        <w:rPr>
          <w:rFonts w:ascii="Times New Roman" w:hAnsi="Times New Roman" w:eastAsia="黑体" w:cs="Times New Roman"/>
          <w:bCs/>
          <w:sz w:val="24"/>
          <w:szCs w:val="24"/>
        </w:rPr>
      </w:pPr>
      <w:r>
        <w:rPr>
          <w:rFonts w:ascii="Times New Roman" w:hAnsi="Times New Roman" w:eastAsia="黑体" w:cs="Times New Roman"/>
          <w:bCs/>
          <w:color w:val="000000"/>
          <w:kern w:val="21"/>
          <w:sz w:val="24"/>
          <w:szCs w:val="24"/>
        </w:rPr>
        <w:t>附表2  二、三类产业园土地集约利用监测统计基础数据表</w:t>
      </w:r>
    </w:p>
    <w:p>
      <w:pPr>
        <w:spacing w:before="156" w:beforeLines="50" w:after="156" w:afterLines="50"/>
        <w:ind w:firstLine="0" w:firstLineChars="0"/>
        <w:jc w:val="right"/>
        <w:rPr>
          <w:rFonts w:hint="eastAsia" w:ascii="楷体_GB2312" w:hAnsi="楷体_GB2312" w:eastAsia="楷体_GB2312" w:cs="楷体_GB2312"/>
          <w:color w:val="000000"/>
          <w:sz w:val="21"/>
          <w:szCs w:val="18"/>
          <w:lang w:eastAsia="zh-CN"/>
        </w:rPr>
      </w:pPr>
      <w:r>
        <w:rPr>
          <w:rFonts w:hint="eastAsia" w:ascii="楷体_GB2312" w:hAnsi="楷体_GB2312" w:eastAsia="楷体_GB2312" w:cs="楷体_GB2312"/>
          <w:color w:val="000000"/>
          <w:sz w:val="21"/>
          <w:szCs w:val="18"/>
          <w:lang w:eastAsia="zh-CN"/>
        </w:rPr>
        <w:t>填报单位（盖章）：</w:t>
      </w:r>
    </w:p>
    <w:tbl>
      <w:tblPr>
        <w:tblStyle w:val="8"/>
        <w:tblpPr w:leftFromText="180" w:rightFromText="180" w:vertAnchor="text" w:horzAnchor="page" w:tblpXSpec="center" w:tblpY="346"/>
        <w:tblOverlap w:val="never"/>
        <w:tblW w:w="88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83"/>
        <w:gridCol w:w="1532"/>
        <w:gridCol w:w="1156"/>
        <w:gridCol w:w="1738"/>
        <w:gridCol w:w="1606"/>
        <w:gridCol w:w="1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产业园代码</w:t>
            </w:r>
          </w:p>
        </w:tc>
        <w:tc>
          <w:tcPr>
            <w:tcW w:w="750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产业园名称</w:t>
            </w:r>
          </w:p>
        </w:tc>
        <w:tc>
          <w:tcPr>
            <w:tcW w:w="750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省</w:t>
            </w:r>
            <w:r>
              <w:rPr>
                <w:rFonts w:hint="default" w:ascii="Times New Roman" w:hAnsi="Times New Roman" w:eastAsia="仿宋_GB2312" w:cs="Times New Roman"/>
                <w:color w:val="000000"/>
                <w:sz w:val="21"/>
                <w:szCs w:val="21"/>
                <w:u w:val="none"/>
                <w:lang w:val="en-US" w:eastAsia="zh-CN" w:bidi="ar"/>
              </w:rPr>
              <w:t xml:space="preserve">  份</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市（地）</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县（市、区）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类</w:t>
            </w:r>
            <w:r>
              <w:rPr>
                <w:rFonts w:hint="default" w:ascii="Times New Roman" w:hAnsi="Times New Roman" w:eastAsia="仿宋_GB2312" w:cs="Times New Roman"/>
                <w:color w:val="000000"/>
                <w:sz w:val="21"/>
                <w:szCs w:val="21"/>
                <w:u w:val="none"/>
                <w:lang w:val="en-US" w:eastAsia="zh-CN" w:bidi="ar"/>
              </w:rPr>
              <w:t xml:space="preserve">  别</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r>
              <w:rPr>
                <w:rFonts w:hint="default" w:ascii="Times New Roman" w:hAnsi="Times New Roman" w:eastAsia="仿宋_GB2312" w:cs="Times New Roman"/>
                <w:color w:val="000000"/>
                <w:sz w:val="21"/>
                <w:szCs w:val="21"/>
                <w:u w:val="none"/>
                <w:lang w:val="en-US" w:eastAsia="zh-CN" w:bidi="ar"/>
              </w:rPr>
              <w:t xml:space="preserve">  </w:t>
            </w:r>
            <w:r>
              <w:rPr>
                <w:rStyle w:val="21"/>
                <w:rFonts w:hint="default" w:ascii="Times New Roman" w:hAnsi="Times New Roman" w:eastAsia="仿宋_GB2312" w:cs="Times New Roman"/>
                <w:sz w:val="21"/>
                <w:szCs w:val="21"/>
                <w:lang w:val="en-US" w:eastAsia="zh-CN" w:bidi="ar"/>
              </w:rPr>
              <w:t>目</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实际管理范围</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城镇开发</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边界内</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备</w:t>
            </w:r>
            <w:r>
              <w:rPr>
                <w:rFonts w:hint="default" w:ascii="Times New Roman" w:hAnsi="Times New Roman" w:eastAsia="仿宋_GB2312" w:cs="Times New Roman"/>
                <w:color w:val="000000"/>
                <w:sz w:val="21"/>
                <w:szCs w:val="21"/>
                <w:u w:val="none"/>
                <w:lang w:val="en-US" w:eastAsia="zh-CN" w:bidi="ar"/>
              </w:rPr>
              <w:t xml:space="preserve">  </w:t>
            </w:r>
            <w:r>
              <w:rPr>
                <w:rStyle w:val="21"/>
                <w:rFonts w:hint="default" w:ascii="Times New Roman" w:hAnsi="Times New Roman" w:eastAsia="仿宋_GB2312" w:cs="Times New Roman"/>
                <w:sz w:val="21"/>
                <w:szCs w:val="21"/>
                <w:lang w:val="en-US" w:eastAsia="zh-CN" w:bidi="ar"/>
              </w:rPr>
              <w:t>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土地利用状况数据</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土地总面积（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规划建设用地面积（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已批准征收土地面积（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已批准转用土地面积（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已到达供地条件的土地面积（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已供应国有建设用地面积（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已建成城镇建设用地面积（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工矿仓储用地面积（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住宅用地面积（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不可建设土地面积（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批而未供土地面积（</w:t>
            </w:r>
            <w:r>
              <w:rPr>
                <w:rStyle w:val="22"/>
                <w:rFonts w:hint="default" w:ascii="Times New Roman" w:hAnsi="Times New Roman" w:eastAsia="仿宋_GB2312" w:cs="Times New Roman"/>
                <w:sz w:val="21"/>
                <w:szCs w:val="21"/>
                <w:lang w:val="en-US" w:eastAsia="zh-CN" w:bidi="ar"/>
              </w:rPr>
              <w:t>hm²</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闲置土地面积（</w:t>
            </w:r>
            <w:r>
              <w:rPr>
                <w:rFonts w:hint="default" w:ascii="Times New Roman" w:hAnsi="Times New Roman" w:eastAsia="仿宋_GB2312" w:cs="Times New Roman"/>
                <w:color w:val="000000"/>
                <w:sz w:val="21"/>
                <w:szCs w:val="21"/>
                <w:u w:val="none"/>
                <w:lang w:val="en-US" w:eastAsia="zh-CN" w:bidi="ar"/>
              </w:rPr>
              <w:t>hm²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社会经济状况数据</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常住人口（人）</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lang w:val="en-US" w:eastAsia="zh-CN"/>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w:t>
            </w:r>
            <w:r>
              <w:rPr>
                <w:rStyle w:val="23"/>
                <w:rFonts w:hint="default" w:ascii="Times New Roman" w:hAnsi="Times New Roman" w:eastAsia="仿宋_GB2312" w:cs="Times New Roman"/>
                <w:sz w:val="21"/>
                <w:szCs w:val="21"/>
                <w:lang w:val="en-US" w:eastAsia="zh-CN" w:bidi="ar"/>
              </w:rPr>
              <w:t>业</w:t>
            </w:r>
            <w:r>
              <w:rPr>
                <w:rStyle w:val="21"/>
                <w:rFonts w:hint="default" w:ascii="Times New Roman" w:hAnsi="Times New Roman" w:eastAsia="仿宋_GB2312" w:cs="Times New Roman"/>
                <w:sz w:val="21"/>
                <w:szCs w:val="21"/>
                <w:lang w:val="en-US" w:eastAsia="zh-CN" w:bidi="ar"/>
              </w:rPr>
              <w:t>（物流）企</w:t>
            </w:r>
            <w:r>
              <w:rPr>
                <w:rStyle w:val="23"/>
                <w:rFonts w:hint="default" w:ascii="Times New Roman" w:hAnsi="Times New Roman" w:eastAsia="仿宋_GB2312" w:cs="Times New Roman"/>
                <w:sz w:val="21"/>
                <w:szCs w:val="21"/>
                <w:lang w:val="en-US" w:eastAsia="zh-CN" w:bidi="ar"/>
              </w:rPr>
              <w:t>业</w:t>
            </w:r>
            <w:r>
              <w:rPr>
                <w:rStyle w:val="21"/>
                <w:rFonts w:hint="default" w:ascii="Times New Roman" w:hAnsi="Times New Roman" w:eastAsia="仿宋_GB2312" w:cs="Times New Roman"/>
                <w:sz w:val="21"/>
                <w:szCs w:val="21"/>
                <w:lang w:val="en-US" w:eastAsia="zh-CN" w:bidi="ar"/>
              </w:rPr>
              <w:t>固定</w:t>
            </w:r>
            <w:r>
              <w:rPr>
                <w:rStyle w:val="23"/>
                <w:rFonts w:hint="default" w:ascii="Times New Roman" w:hAnsi="Times New Roman" w:eastAsia="仿宋_GB2312" w:cs="Times New Roman"/>
                <w:sz w:val="21"/>
                <w:szCs w:val="21"/>
                <w:lang w:val="en-US" w:eastAsia="zh-CN" w:bidi="ar"/>
              </w:rPr>
              <w:t>资产</w:t>
            </w:r>
            <w:r>
              <w:rPr>
                <w:rStyle w:val="21"/>
                <w:rFonts w:hint="default" w:ascii="Times New Roman" w:hAnsi="Times New Roman" w:eastAsia="仿宋_GB2312" w:cs="Times New Roman"/>
                <w:sz w:val="21"/>
                <w:szCs w:val="21"/>
                <w:lang w:val="en-US" w:eastAsia="zh-CN" w:bidi="ar"/>
              </w:rPr>
              <w:t>投</w:t>
            </w:r>
            <w:r>
              <w:rPr>
                <w:rStyle w:val="23"/>
                <w:rFonts w:hint="default" w:ascii="Times New Roman" w:hAnsi="Times New Roman" w:eastAsia="仿宋_GB2312" w:cs="Times New Roman"/>
                <w:sz w:val="21"/>
                <w:szCs w:val="21"/>
                <w:lang w:val="en-US" w:eastAsia="zh-CN" w:bidi="ar"/>
              </w:rPr>
              <w:t>资总额（万元）</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二、三产业税收总额（万元）</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2022</w:t>
            </w:r>
            <w:r>
              <w:rPr>
                <w:rStyle w:val="23"/>
                <w:rFonts w:hint="default" w:ascii="Times New Roman" w:hAnsi="Times New Roman" w:eastAsia="仿宋_GB2312" w:cs="Times New Roman"/>
                <w:sz w:val="21"/>
                <w:szCs w:val="21"/>
                <w:lang w:val="en-US" w:eastAsia="zh-CN" w:bidi="ar"/>
              </w:rPr>
              <w:t>年全年数据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工业（物流）企业总收入（万元）</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2022</w:t>
            </w:r>
            <w:r>
              <w:rPr>
                <w:rStyle w:val="23"/>
                <w:rFonts w:hint="default" w:ascii="Times New Roman" w:hAnsi="Times New Roman" w:eastAsia="仿宋_GB2312" w:cs="Times New Roman"/>
                <w:sz w:val="21"/>
                <w:szCs w:val="21"/>
                <w:lang w:val="en-US" w:eastAsia="zh-CN" w:bidi="ar"/>
              </w:rPr>
              <w:t>年全年数据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w:t>
            </w:r>
            <w:r>
              <w:rPr>
                <w:rStyle w:val="23"/>
                <w:rFonts w:hint="default" w:ascii="Times New Roman" w:hAnsi="Times New Roman" w:eastAsia="仿宋_GB2312" w:cs="Times New Roman"/>
                <w:sz w:val="21"/>
                <w:szCs w:val="21"/>
                <w:lang w:val="en-US" w:eastAsia="zh-CN" w:bidi="ar"/>
              </w:rPr>
              <w:t>业</w:t>
            </w:r>
            <w:r>
              <w:rPr>
                <w:rStyle w:val="21"/>
                <w:rFonts w:hint="default" w:ascii="Times New Roman" w:hAnsi="Times New Roman" w:eastAsia="仿宋_GB2312" w:cs="Times New Roman"/>
                <w:sz w:val="21"/>
                <w:szCs w:val="21"/>
                <w:lang w:val="en-US" w:eastAsia="zh-CN" w:bidi="ar"/>
              </w:rPr>
              <w:t>（物流）企</w:t>
            </w:r>
            <w:r>
              <w:rPr>
                <w:rStyle w:val="23"/>
                <w:rFonts w:hint="default" w:ascii="Times New Roman" w:hAnsi="Times New Roman" w:eastAsia="仿宋_GB2312" w:cs="Times New Roman"/>
                <w:sz w:val="21"/>
                <w:szCs w:val="21"/>
                <w:lang w:val="en-US" w:eastAsia="zh-CN" w:bidi="ar"/>
              </w:rPr>
              <w:t>业税</w:t>
            </w:r>
            <w:r>
              <w:rPr>
                <w:rStyle w:val="21"/>
                <w:rFonts w:hint="default" w:ascii="Times New Roman" w:hAnsi="Times New Roman" w:eastAsia="仿宋_GB2312" w:cs="Times New Roman"/>
                <w:sz w:val="21"/>
                <w:szCs w:val="21"/>
                <w:lang w:val="en-US" w:eastAsia="zh-CN" w:bidi="ar"/>
              </w:rPr>
              <w:t>收</w:t>
            </w:r>
            <w:r>
              <w:rPr>
                <w:rStyle w:val="23"/>
                <w:rFonts w:hint="default" w:ascii="Times New Roman" w:hAnsi="Times New Roman" w:eastAsia="仿宋_GB2312" w:cs="Times New Roman"/>
                <w:sz w:val="21"/>
                <w:szCs w:val="21"/>
                <w:lang w:val="en-US" w:eastAsia="zh-CN" w:bidi="ar"/>
              </w:rPr>
              <w:t>总额（万元）</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2022</w:t>
            </w:r>
            <w:r>
              <w:rPr>
                <w:rStyle w:val="23"/>
                <w:rFonts w:hint="default" w:ascii="Times New Roman" w:hAnsi="Times New Roman" w:eastAsia="仿宋_GB2312" w:cs="Times New Roman"/>
                <w:sz w:val="21"/>
                <w:szCs w:val="21"/>
                <w:lang w:val="en-US" w:eastAsia="zh-CN" w:bidi="ar"/>
              </w:rPr>
              <w:t>年全年数据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建筑工程状况数据</w:t>
            </w: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总建筑面积（万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工矿仓储用地总建筑面积（万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建筑基底总面积（万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jc w:val="center"/>
        </w:trPr>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2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工矿仓储用地建筑物构筑物基底面积、露天堆场和露天操作场地面积（万</w:t>
            </w:r>
            <w:r>
              <w:rPr>
                <w:rFonts w:hint="default" w:ascii="Times New Roman" w:hAnsi="Times New Roman" w:eastAsia="仿宋_GB2312" w:cs="Times New Roman"/>
                <w:color w:val="000000"/>
                <w:sz w:val="21"/>
                <w:szCs w:val="21"/>
                <w:u w:val="none"/>
                <w:lang w:val="en-US" w:eastAsia="zh-CN" w:bidi="ar"/>
              </w:rPr>
              <w:t>m²</w:t>
            </w:r>
            <w:r>
              <w:rPr>
                <w:rStyle w:val="21"/>
                <w:rFonts w:hint="default" w:ascii="Times New Roman" w:hAnsi="Times New Roman" w:eastAsia="仿宋_GB2312" w:cs="Times New Roman"/>
                <w:sz w:val="21"/>
                <w:szCs w:val="21"/>
                <w:lang w:val="en-US" w:eastAsia="zh-CN" w:bidi="ar"/>
              </w:rPr>
              <w:t>）</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sz w:val="21"/>
                <w:szCs w:val="21"/>
                <w:u w:val="none"/>
                <w:lang w:val="en-US" w:eastAsia="zh-CN"/>
              </w:rPr>
              <w:t>\</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监测时点数据</w:t>
            </w:r>
          </w:p>
        </w:tc>
      </w:tr>
    </w:tbl>
    <w:p>
      <w:pPr>
        <w:spacing w:line="360" w:lineRule="auto"/>
        <w:ind w:left="0" w:leftChars="0" w:firstLine="0" w:firstLineChars="0"/>
        <w:rPr>
          <w:rFonts w:ascii="宋体" w:hAnsi="宋体" w:eastAsia="宋体" w:cs="仿宋_GB2312"/>
          <w:color w:val="000000"/>
          <w:sz w:val="18"/>
          <w:szCs w:val="18"/>
        </w:rPr>
      </w:pP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附表1、2</w:t>
      </w:r>
      <w:r>
        <w:rPr>
          <w:rFonts w:hint="default" w:ascii="Times New Roman" w:hAnsi="Times New Roman" w:eastAsia="黑体" w:cs="Times New Roman"/>
          <w:sz w:val="32"/>
          <w:szCs w:val="32"/>
        </w:rPr>
        <w:t>填报说明</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1.监测时点数据统一为202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年12月31日数据。</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土地总面积</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填写监测统计范围的图上量算面积，原则上应与202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年度一致。</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仿宋_GB2312" w:hAnsi="仿宋_GB2312" w:eastAsia="仿宋_GB2312" w:cs="仿宋_GB2312"/>
          <w:sz w:val="32"/>
          <w:szCs w:val="32"/>
        </w:rPr>
        <w:t>“规划建设用地面积”</w:t>
      </w:r>
      <w:r>
        <w:rPr>
          <w:rFonts w:ascii="Times New Roman" w:hAnsi="Times New Roman" w:eastAsia="仿宋_GB2312" w:cs="Times New Roman"/>
          <w:sz w:val="32"/>
          <w:szCs w:val="32"/>
        </w:rPr>
        <w:t>是指经依法批准的国土空间规划（包括原土地利用总体规划、城乡规划等）确定的城镇建设用地面积。原则上小于等</w:t>
      </w:r>
      <w:r>
        <w:rPr>
          <w:rFonts w:hint="eastAsia" w:ascii="仿宋_GB2312" w:hAnsi="仿宋_GB2312" w:eastAsia="仿宋_GB2312" w:cs="仿宋_GB2312"/>
          <w:sz w:val="32"/>
          <w:szCs w:val="32"/>
        </w:rPr>
        <w:t>于“土地总面积”-“不可建设土地面积”</w:t>
      </w:r>
      <w:r>
        <w:rPr>
          <w:rFonts w:ascii="Times New Roman" w:hAnsi="Times New Roman" w:eastAsia="仿宋_GB2312" w:cs="Times New Roman"/>
          <w:sz w:val="32"/>
          <w:szCs w:val="32"/>
        </w:rPr>
        <w:t>。</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“已批准征收土地面积”</w:t>
      </w:r>
      <w:r>
        <w:rPr>
          <w:rFonts w:ascii="Times New Roman" w:hAnsi="Times New Roman" w:eastAsia="仿宋_GB2312" w:cs="Times New Roman"/>
          <w:sz w:val="32"/>
          <w:szCs w:val="32"/>
        </w:rPr>
        <w:t>是指</w:t>
      </w:r>
      <w:r>
        <w:rPr>
          <w:rFonts w:hint="eastAsia" w:ascii="Times New Roman" w:hAnsi="Times New Roman" w:eastAsia="仿宋_GB2312" w:cs="Times New Roman"/>
          <w:sz w:val="32"/>
          <w:szCs w:val="32"/>
        </w:rPr>
        <w:t>截至监测时点，已经正式批准征收的土地面积。原则上小于等于规划建设用地面积。</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5.“已批准转用土地面积”</w:t>
      </w:r>
      <w:r>
        <w:rPr>
          <w:rFonts w:ascii="Times New Roman" w:hAnsi="Times New Roman" w:eastAsia="仿宋_GB2312" w:cs="Times New Roman"/>
          <w:sz w:val="32"/>
          <w:szCs w:val="32"/>
        </w:rPr>
        <w:t>是指</w:t>
      </w:r>
      <w:r>
        <w:rPr>
          <w:rFonts w:hint="eastAsia" w:ascii="Times New Roman" w:hAnsi="Times New Roman" w:eastAsia="仿宋_GB2312" w:cs="Times New Roman"/>
          <w:sz w:val="32"/>
          <w:szCs w:val="32"/>
        </w:rPr>
        <w:t>截至监测时点，依据建设用地审批系统，已经正式批准农用地转用的土地面积。原则上小于等于规划建设用地面积。</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“已达到供地条件的土地面积”是</w:t>
      </w:r>
      <w:r>
        <w:rPr>
          <w:rFonts w:ascii="Times New Roman" w:hAnsi="Times New Roman" w:eastAsia="仿宋_GB2312" w:cs="Times New Roman"/>
          <w:sz w:val="32"/>
          <w:szCs w:val="32"/>
        </w:rPr>
        <w:t>指</w:t>
      </w:r>
      <w:r>
        <w:rPr>
          <w:rFonts w:hint="eastAsia" w:ascii="Times New Roman" w:hAnsi="Times New Roman" w:eastAsia="仿宋_GB2312" w:cs="Times New Roman"/>
          <w:sz w:val="32"/>
          <w:szCs w:val="32"/>
        </w:rPr>
        <w:t>截至监测时点，</w:t>
      </w:r>
      <w:r>
        <w:rPr>
          <w:rFonts w:ascii="Times New Roman" w:hAnsi="Times New Roman" w:eastAsia="仿宋_GB2312" w:cs="Times New Roman"/>
          <w:sz w:val="32"/>
          <w:szCs w:val="32"/>
        </w:rPr>
        <w:t>已经办理征地手续，至少达到通水、通路、通电和场地平整</w:t>
      </w:r>
      <w:r>
        <w:rPr>
          <w:rFonts w:hint="eastAsia" w:ascii="仿宋_GB2312" w:hAnsi="仿宋_GB2312" w:eastAsia="仿宋_GB2312" w:cs="仿宋_GB2312"/>
          <w:sz w:val="32"/>
          <w:szCs w:val="32"/>
        </w:rPr>
        <w:t>的“三通一平”配套</w:t>
      </w:r>
      <w:r>
        <w:rPr>
          <w:rFonts w:ascii="Times New Roman" w:hAnsi="Times New Roman" w:eastAsia="仿宋_GB2312" w:cs="Times New Roman"/>
          <w:sz w:val="32"/>
          <w:szCs w:val="32"/>
        </w:rPr>
        <w:t>程度的土地面积。原则上包含已建成城镇建设用地面积。</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“已供应国有建设用地面积”是指截至监</w:t>
      </w:r>
      <w:r>
        <w:rPr>
          <w:rFonts w:ascii="Times New Roman" w:hAnsi="Times New Roman" w:eastAsia="仿宋_GB2312" w:cs="Times New Roman"/>
          <w:sz w:val="32"/>
          <w:szCs w:val="32"/>
        </w:rPr>
        <w:t>测时点，通过划拨和有偿使用方式供应的国有建设用地面积。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“已建成城镇建设用地面积”是指截至</w:t>
      </w:r>
      <w:r>
        <w:rPr>
          <w:rFonts w:ascii="仿宋_GB2312" w:hAnsi="仿宋_GB2312" w:eastAsia="仿宋_GB2312" w:cs="仿宋_GB2312"/>
          <w:sz w:val="32"/>
          <w:szCs w:val="32"/>
        </w:rPr>
        <w:t>监测时点，已经建设并通过竣工验收的国有建设用地面积。</w:t>
      </w:r>
      <w:r>
        <w:rPr>
          <w:rFonts w:hint="eastAsia" w:ascii="仿宋_GB2312" w:hAnsi="仿宋_GB2312" w:eastAsia="仿宋_GB2312" w:cs="仿宋_GB2312"/>
          <w:sz w:val="32"/>
          <w:szCs w:val="32"/>
        </w:rPr>
        <w:t>包括已建成的住宅用地、工矿仓储用地、交通运输用地、商服用地、公共管理与公共服务用地，以及其他城镇建设用地等的面积。海关特殊监管区域的已建成城镇建设用地面积包括现状围网范围内已建成的城镇建设用地面积，及开发区四至范围与围网范围间的海关专属办公用地面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仿宋_GB2312" w:hAnsi="仿宋_GB2312" w:eastAsia="仿宋_GB2312" w:cs="仿宋_GB2312"/>
          <w:sz w:val="32"/>
          <w:szCs w:val="32"/>
        </w:rPr>
        <w:t>“工矿仓储用地面积”是</w:t>
      </w:r>
      <w:r>
        <w:rPr>
          <w:rFonts w:ascii="Times New Roman" w:hAnsi="Times New Roman" w:eastAsia="仿宋_GB2312" w:cs="Times New Roman"/>
          <w:sz w:val="32"/>
          <w:szCs w:val="32"/>
        </w:rPr>
        <w:t>指截至监测时点，用于工业生产、物资存放场所的土地面积。</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1</w:t>
      </w:r>
      <w:r>
        <w:rPr>
          <w:rFonts w:ascii="Times New Roman" w:hAnsi="Times New Roman" w:eastAsia="仿宋_GB2312" w:cs="仿宋_GB2312"/>
          <w:sz w:val="32"/>
          <w:szCs w:val="32"/>
        </w:rPr>
        <w:t>0</w:t>
      </w:r>
      <w:r>
        <w:rPr>
          <w:rFonts w:hint="eastAsia" w:ascii="Times New Roman" w:hAnsi="Times New Roman" w:eastAsia="仿宋_GB2312" w:cs="仿宋_GB2312"/>
          <w:sz w:val="32"/>
          <w:szCs w:val="32"/>
        </w:rPr>
        <w:t>.“</w:t>
      </w:r>
      <w:r>
        <w:rPr>
          <w:rFonts w:ascii="Times New Roman" w:hAnsi="Times New Roman" w:eastAsia="仿宋_GB2312" w:cs="仿宋_GB2312"/>
          <w:sz w:val="32"/>
          <w:szCs w:val="32"/>
        </w:rPr>
        <w:t>住宅用地面积</w:t>
      </w:r>
      <w:r>
        <w:rPr>
          <w:rFonts w:hint="eastAsia" w:ascii="Times New Roman" w:hAnsi="Times New Roman" w:eastAsia="仿宋_GB2312" w:cs="仿宋_GB2312"/>
          <w:sz w:val="32"/>
          <w:szCs w:val="32"/>
        </w:rPr>
        <w:t>”是</w:t>
      </w:r>
      <w:r>
        <w:rPr>
          <w:rFonts w:ascii="Times New Roman" w:hAnsi="Times New Roman" w:eastAsia="仿宋_GB2312" w:cs="仿宋_GB2312"/>
          <w:sz w:val="32"/>
          <w:szCs w:val="32"/>
        </w:rPr>
        <w:t>指截至监测时点，用于生活居住的各类房屋用地及其附属设施用地面积，包括普通住宅、公寓、别墅等用地的面积。</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1.</w:t>
      </w:r>
      <w:r>
        <w:rPr>
          <w:rFonts w:hint="eastAsia" w:ascii="仿宋_GB2312" w:hAnsi="仿宋_GB2312" w:eastAsia="仿宋_GB2312" w:cs="仿宋_GB2312"/>
          <w:sz w:val="32"/>
          <w:szCs w:val="32"/>
        </w:rPr>
        <w:t>“不可建设土地面积”是</w:t>
      </w:r>
      <w:r>
        <w:rPr>
          <w:rFonts w:ascii="Times New Roman" w:hAnsi="Times New Roman" w:eastAsia="仿宋_GB2312" w:cs="Times New Roman"/>
          <w:sz w:val="32"/>
          <w:szCs w:val="32"/>
        </w:rPr>
        <w:t>指截至监测时点，按照规划要求，不可进行开发建设的土地面积。主要包括河湖及其蓄滞洪区土地，自然、生态保护区土地和其他不可建设土地的面积。不可建设土地面积原则上应与202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年度一致。</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w:t>
      </w:r>
      <w:r>
        <w:rPr>
          <w:rFonts w:hint="eastAsia" w:ascii="仿宋_GB2312" w:hAnsi="仿宋_GB2312" w:eastAsia="仿宋_GB2312" w:cs="仿宋_GB2312"/>
          <w:sz w:val="32"/>
          <w:szCs w:val="32"/>
        </w:rPr>
        <w:t>“批而未供土地面积”是指</w:t>
      </w:r>
      <w:r>
        <w:rPr>
          <w:rFonts w:ascii="Times New Roman" w:hAnsi="Times New Roman" w:eastAsia="仿宋_GB2312" w:cs="Times New Roman"/>
          <w:sz w:val="32"/>
          <w:szCs w:val="32"/>
        </w:rPr>
        <w:t>截至监测时点，依法已经国务院或省级人民政府批准土地</w:t>
      </w:r>
      <w:r>
        <w:rPr>
          <w:rFonts w:hint="eastAsia" w:ascii="Times New Roman" w:hAnsi="Times New Roman" w:eastAsia="仿宋_GB2312" w:cs="Times New Roman"/>
          <w:sz w:val="32"/>
          <w:szCs w:val="32"/>
        </w:rPr>
        <w:t>征收</w:t>
      </w:r>
      <w:r>
        <w:rPr>
          <w:rFonts w:ascii="Times New Roman" w:hAnsi="Times New Roman" w:eastAsia="仿宋_GB2312" w:cs="Times New Roman"/>
          <w:sz w:val="32"/>
          <w:szCs w:val="32"/>
        </w:rPr>
        <w:t>或农用地转用，而未供应出去的土地面积。以土地市场动态监测与监管系统中数据为准。</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“闲置土地面积”是指截</w:t>
      </w:r>
      <w:r>
        <w:rPr>
          <w:rFonts w:ascii="Times New Roman" w:hAnsi="Times New Roman" w:eastAsia="仿宋_GB2312" w:cs="Times New Roman"/>
          <w:sz w:val="32"/>
          <w:szCs w:val="32"/>
        </w:rPr>
        <w:t>至监测时点，依照《闲置土地处置办法》（国土资源部令第5号）中的规定，认定为闲置土地的项目用地面积。以土地市场动态监测与监管系统中数据为准。</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“常住人口”是指截</w:t>
      </w:r>
      <w:r>
        <w:rPr>
          <w:rFonts w:ascii="Times New Roman" w:hAnsi="Times New Roman" w:eastAsia="仿宋_GB2312" w:cs="Times New Roman"/>
          <w:sz w:val="32"/>
          <w:szCs w:val="32"/>
        </w:rPr>
        <w:t>至监测时点，开发区常住人口总</w:t>
      </w:r>
      <w:r>
        <w:rPr>
          <w:rFonts w:hint="eastAsia" w:ascii="Times New Roman" w:hAnsi="Times New Roman" w:eastAsia="仿宋_GB2312" w:cs="Times New Roman"/>
          <w:sz w:val="32"/>
          <w:szCs w:val="32"/>
        </w:rPr>
        <w:t>规模</w:t>
      </w:r>
      <w:r>
        <w:rPr>
          <w:rFonts w:ascii="Times New Roman" w:hAnsi="Times New Roman" w:eastAsia="仿宋_GB2312" w:cs="Times New Roman"/>
          <w:sz w:val="32"/>
          <w:szCs w:val="32"/>
        </w:rPr>
        <w:t>。</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“工业（物流）企业固定资产投资总额”是指</w:t>
      </w:r>
      <w:r>
        <w:rPr>
          <w:rFonts w:ascii="Times New Roman" w:hAnsi="Times New Roman" w:eastAsia="仿宋_GB2312" w:cs="Times New Roman"/>
          <w:sz w:val="32"/>
          <w:szCs w:val="32"/>
        </w:rPr>
        <w:t>截至监测时点，开发区工矿仓储用地上的工业（物流）企业累计固定资产投资总额。</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“二、三产业税收总额”是指</w:t>
      </w: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年全年，开发区已建成城镇建设用地上的二、三产业税收总额。</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“工业（物流）企业总收入”是指</w:t>
      </w: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年全年，</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工矿仓储用地上的工业（物流）企业总收入。</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“工业（物流）企业税收总额”是指</w:t>
      </w: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年全年，</w:t>
      </w:r>
      <w:r>
        <w:rPr>
          <w:rFonts w:hint="eastAsia" w:ascii="Times New Roman" w:hAnsi="Times New Roman" w:eastAsia="仿宋_GB2312" w:cs="Times New Roman"/>
          <w:sz w:val="32"/>
          <w:szCs w:val="32"/>
        </w:rPr>
        <w:t>开发区</w:t>
      </w:r>
      <w:r>
        <w:rPr>
          <w:rFonts w:ascii="Times New Roman" w:hAnsi="Times New Roman" w:eastAsia="仿宋_GB2312" w:cs="Times New Roman"/>
          <w:sz w:val="32"/>
          <w:szCs w:val="32"/>
        </w:rPr>
        <w:t>工矿仓储用地上的工业（物流）企业税收总额。</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“总建筑面积”是指截至监测时</w:t>
      </w:r>
      <w:r>
        <w:rPr>
          <w:rFonts w:ascii="Times New Roman" w:hAnsi="Times New Roman" w:eastAsia="仿宋_GB2312" w:cs="Times New Roman"/>
          <w:sz w:val="32"/>
          <w:szCs w:val="32"/>
        </w:rPr>
        <w:t>点，开发区已建成城镇建设用地上的建筑总面积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不含农村集体建设用地涉及建筑面积。</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“工矿仓储用地总建筑面积”是指截至监</w:t>
      </w:r>
      <w:r>
        <w:rPr>
          <w:rFonts w:ascii="Times New Roman" w:hAnsi="Times New Roman" w:eastAsia="仿宋_GB2312" w:cs="Times New Roman"/>
          <w:sz w:val="32"/>
          <w:szCs w:val="32"/>
        </w:rPr>
        <w:t>测时点，开发区工矿仓储用地上的建筑总面积。不含农村工矿仓储用地涉及建筑面积。</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21</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“建筑基底总面积”是指截至监</w:t>
      </w:r>
      <w:r>
        <w:rPr>
          <w:rFonts w:ascii="Times New Roman" w:hAnsi="Times New Roman" w:eastAsia="仿宋_GB2312" w:cs="Times New Roman"/>
          <w:sz w:val="32"/>
          <w:szCs w:val="32"/>
        </w:rPr>
        <w:t>测时点，开发区已建成城镇建设用地上的建筑物构筑物的基底总面积。不含农村集体建设用地涉及建筑基底面积。</w:t>
      </w:r>
    </w:p>
    <w:p>
      <w:pPr>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22</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“工矿仓储用地建筑物构筑物基底面积、露天堆</w:t>
      </w:r>
      <w:r>
        <w:rPr>
          <w:rFonts w:ascii="Times New Roman" w:hAnsi="Times New Roman" w:eastAsia="仿宋_GB2312" w:cs="Times New Roman"/>
          <w:sz w:val="32"/>
          <w:szCs w:val="32"/>
        </w:rPr>
        <w:t>场和露天操作场地面</w:t>
      </w:r>
      <w:r>
        <w:rPr>
          <w:rFonts w:hint="eastAsia" w:ascii="仿宋_GB2312" w:hAnsi="仿宋_GB2312" w:eastAsia="仿宋_GB2312" w:cs="仿宋_GB2312"/>
          <w:sz w:val="32"/>
          <w:szCs w:val="32"/>
        </w:rPr>
        <w:t>积”是指截至监</w:t>
      </w:r>
      <w:r>
        <w:rPr>
          <w:rFonts w:ascii="Times New Roman" w:hAnsi="Times New Roman" w:eastAsia="仿宋_GB2312" w:cs="Times New Roman"/>
          <w:sz w:val="32"/>
          <w:szCs w:val="32"/>
        </w:rPr>
        <w:t>测时点，开发区工矿仓储用地上的建筑物构筑物的基底面积、露天堆场和露天操作场地面积。不含农村工矿仓储用地涉及建筑基底面积、露天堆场和露天操作场地面积。</w:t>
      </w:r>
    </w:p>
    <w:p>
      <w:pPr>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23.</w:t>
      </w:r>
      <w:bookmarkStart w:id="33" w:name="OLE_LINK1"/>
      <w:r>
        <w:rPr>
          <w:rFonts w:hint="eastAsia" w:ascii="Times New Roman" w:hAnsi="Times New Roman" w:eastAsia="仿宋_GB2312" w:cs="Times New Roman"/>
          <w:sz w:val="32"/>
          <w:szCs w:val="32"/>
          <w:lang w:val="en-US" w:eastAsia="zh-CN"/>
        </w:rPr>
        <w:t>“城镇开发边界内”是指依据“三区三线”划定成果，确定开发区审批范围、二三类产业园实际管理范围位于城镇开发边界内的相关数据。</w:t>
      </w:r>
    </w:p>
    <w:bookmarkEnd w:id="33"/>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before="156" w:beforeLines="50" w:after="156" w:afterLines="50"/>
        <w:ind w:firstLine="0" w:firstLineChars="0"/>
        <w:jc w:val="center"/>
        <w:rPr>
          <w:rFonts w:ascii="Times New Roman" w:hAnsi="Times New Roman" w:eastAsia="黑体" w:cs="Times New Roman"/>
          <w:bCs/>
          <w:color w:val="000000"/>
          <w:kern w:val="21"/>
          <w:sz w:val="24"/>
          <w:szCs w:val="24"/>
        </w:rPr>
      </w:pPr>
      <w:r>
        <w:rPr>
          <w:rFonts w:ascii="Times New Roman" w:hAnsi="Times New Roman" w:eastAsia="黑体" w:cs="Times New Roman"/>
          <w:bCs/>
          <w:color w:val="000000"/>
          <w:kern w:val="21"/>
          <w:sz w:val="24"/>
          <w:szCs w:val="24"/>
        </w:rPr>
        <w:t>附表</w:t>
      </w:r>
      <w:r>
        <w:rPr>
          <w:rFonts w:hint="eastAsia" w:ascii="Times New Roman" w:hAnsi="Times New Roman" w:eastAsia="黑体" w:cs="Times New Roman"/>
          <w:bCs/>
          <w:color w:val="000000"/>
          <w:kern w:val="21"/>
          <w:sz w:val="24"/>
          <w:szCs w:val="24"/>
          <w:lang w:val="en-US" w:eastAsia="zh-CN"/>
        </w:rPr>
        <w:t>3</w:t>
      </w:r>
      <w:r>
        <w:rPr>
          <w:rFonts w:ascii="Times New Roman" w:hAnsi="Times New Roman" w:eastAsia="黑体" w:cs="Times New Roman"/>
          <w:bCs/>
          <w:color w:val="000000"/>
          <w:kern w:val="21"/>
          <w:sz w:val="24"/>
          <w:szCs w:val="24"/>
        </w:rPr>
        <w:t xml:space="preserve">  </w:t>
      </w:r>
      <w:r>
        <w:rPr>
          <w:rFonts w:hint="eastAsia" w:ascii="Times New Roman" w:hAnsi="Times New Roman" w:eastAsia="黑体" w:cs="Times New Roman"/>
          <w:bCs/>
          <w:color w:val="000000"/>
          <w:kern w:val="21"/>
          <w:sz w:val="24"/>
          <w:szCs w:val="24"/>
          <w:lang w:eastAsia="zh-CN"/>
        </w:rPr>
        <w:t>开发区低效工矿仓储用地统计</w:t>
      </w:r>
      <w:r>
        <w:rPr>
          <w:rFonts w:ascii="Times New Roman" w:hAnsi="Times New Roman" w:eastAsia="黑体" w:cs="Times New Roman"/>
          <w:bCs/>
          <w:color w:val="000000"/>
          <w:kern w:val="21"/>
          <w:sz w:val="24"/>
          <w:szCs w:val="24"/>
        </w:rPr>
        <w:t>表</w:t>
      </w:r>
    </w:p>
    <w:p>
      <w:pPr>
        <w:spacing w:before="156" w:beforeLines="50" w:after="156" w:afterLines="50"/>
        <w:ind w:firstLine="0" w:firstLineChars="0"/>
        <w:jc w:val="right"/>
        <w:rPr>
          <w:rFonts w:ascii="Times New Roman" w:hAnsi="Times New Roman" w:eastAsia="黑体" w:cs="Times New Roman"/>
          <w:bCs/>
          <w:color w:val="000000"/>
          <w:kern w:val="21"/>
          <w:sz w:val="24"/>
          <w:szCs w:val="24"/>
        </w:rPr>
      </w:pPr>
      <w:r>
        <w:rPr>
          <w:rFonts w:hint="eastAsia" w:ascii="楷体_GB2312" w:hAnsi="楷体_GB2312" w:eastAsia="楷体_GB2312" w:cs="楷体_GB2312"/>
          <w:color w:val="000000"/>
          <w:sz w:val="21"/>
          <w:szCs w:val="18"/>
          <w:lang w:eastAsia="zh-CN"/>
        </w:rPr>
        <w:t>单位：公顷</w:t>
      </w:r>
    </w:p>
    <w:tbl>
      <w:tblPr>
        <w:tblStyle w:val="8"/>
        <w:tblpPr w:leftFromText="180" w:rightFromText="180" w:vertAnchor="text" w:horzAnchor="page" w:tblpX="1187" w:tblpY="201"/>
        <w:tblOverlap w:val="never"/>
        <w:tblW w:w="91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95"/>
        <w:gridCol w:w="1175"/>
        <w:gridCol w:w="839"/>
        <w:gridCol w:w="861"/>
        <w:gridCol w:w="888"/>
        <w:gridCol w:w="937"/>
        <w:gridCol w:w="875"/>
        <w:gridCol w:w="888"/>
        <w:gridCol w:w="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开发区代码</w:t>
            </w:r>
          </w:p>
        </w:tc>
        <w:tc>
          <w:tcPr>
            <w:tcW w:w="736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开发区名称</w:t>
            </w:r>
          </w:p>
        </w:tc>
        <w:tc>
          <w:tcPr>
            <w:tcW w:w="736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仿宋_GB2312"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调查范围</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低效工矿仓储用地总面积</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类型</w:t>
            </w:r>
            <w:r>
              <w:rPr>
                <w:rStyle w:val="24"/>
                <w:rFonts w:hint="default" w:ascii="Times New Roman" w:hAnsi="Times New Roman" w:eastAsia="仿宋_GB2312" w:cs="Times New Roman"/>
                <w:sz w:val="22"/>
                <w:szCs w:val="22"/>
                <w:lang w:val="en-US" w:eastAsia="zh-CN" w:bidi="ar"/>
              </w:rPr>
              <w:t>1</w:t>
            </w:r>
            <w:r>
              <w:rPr>
                <w:rFonts w:hint="default" w:ascii="Times New Roman" w:hAnsi="Times New Roman" w:eastAsia="仿宋_GB2312" w:cs="Times New Roman"/>
                <w:i w:val="0"/>
                <w:iCs w:val="0"/>
                <w:color w:val="000000"/>
                <w:kern w:val="0"/>
                <w:sz w:val="22"/>
                <w:szCs w:val="22"/>
                <w:u w:val="none"/>
                <w:lang w:val="en-US" w:eastAsia="zh-CN" w:bidi="ar"/>
              </w:rPr>
              <w:t>面积</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类型2面积</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类型3面积</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类型4面积</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类型5面积</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类型6面积</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类型</w:t>
            </w:r>
            <w:r>
              <w:rPr>
                <w:rStyle w:val="24"/>
                <w:rFonts w:hint="default" w:ascii="Times New Roman" w:hAnsi="Times New Roman" w:eastAsia="仿宋_GB2312" w:cs="Times New Roman"/>
                <w:sz w:val="22"/>
                <w:szCs w:val="22"/>
                <w:lang w:val="en-US" w:eastAsia="zh-CN" w:bidi="ar"/>
              </w:rPr>
              <w:t>7</w:t>
            </w:r>
            <w:r>
              <w:rPr>
                <w:rFonts w:hint="default" w:ascii="Times New Roman" w:hAnsi="Times New Roman" w:eastAsia="仿宋_GB2312" w:cs="Times New Roman"/>
                <w:i w:val="0"/>
                <w:iCs w:val="0"/>
                <w:color w:val="000000"/>
                <w:kern w:val="0"/>
                <w:sz w:val="22"/>
                <w:szCs w:val="22"/>
                <w:u w:val="none"/>
                <w:lang w:val="en-US" w:eastAsia="zh-CN" w:bidi="ar"/>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审批范围</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城镇开发边界内</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实际管理范围</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仿宋_GB2312" w:cs="Times New Roman"/>
                <w:i w:val="0"/>
                <w:iCs w:val="0"/>
                <w:color w:val="000000"/>
                <w:sz w:val="22"/>
                <w:szCs w:val="22"/>
                <w:u w:val="none"/>
              </w:rPr>
            </w:pPr>
          </w:p>
        </w:tc>
      </w:tr>
    </w:tbl>
    <w:p>
      <w:pPr>
        <w:ind w:left="0" w:leftChars="0" w:firstLine="0" w:firstLineChars="0"/>
        <w:jc w:val="center"/>
        <w:rPr>
          <w:rFonts w:hint="eastAsia" w:ascii="宋体" w:hAnsi="宋体" w:eastAsia="宋体" w:cs="仿宋_GB2312"/>
          <w:color w:val="000000"/>
          <w:sz w:val="21"/>
          <w:szCs w:val="18"/>
          <w:lang w:eastAsia="zh-CN"/>
        </w:rPr>
      </w:pPr>
      <w:r>
        <w:rPr>
          <w:rFonts w:hint="eastAsia" w:ascii="宋体" w:hAnsi="宋体" w:eastAsia="宋体" w:cs="仿宋_GB2312"/>
          <w:color w:val="000000"/>
          <w:sz w:val="21"/>
          <w:szCs w:val="18"/>
          <w:lang w:val="en-US" w:eastAsia="zh-CN"/>
        </w:rPr>
        <w:t xml:space="preserve">                                                               </w:t>
      </w:r>
    </w:p>
    <w:p>
      <w:pPr>
        <w:ind w:left="0" w:leftChars="0" w:firstLine="0" w:firstLineChars="0"/>
        <w:jc w:val="center"/>
        <w:rPr>
          <w:rFonts w:hint="eastAsia" w:ascii="宋体" w:hAnsi="宋体" w:eastAsia="宋体" w:cs="仿宋_GB2312"/>
          <w:color w:val="000000"/>
          <w:sz w:val="21"/>
          <w:szCs w:val="18"/>
          <w:lang w:eastAsia="zh-CN"/>
        </w:rPr>
      </w:pPr>
    </w:p>
    <w:p>
      <w:pPr>
        <w:ind w:left="0" w:leftChars="0"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备注：</w:t>
      </w:r>
    </w:p>
    <w:p>
      <w:pPr>
        <w:numPr>
          <w:ilvl w:val="0"/>
          <w:numId w:val="1"/>
        </w:numPr>
        <w:ind w:left="0" w:leftChars="0"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低效工矿仓储用地分类：①已供应但长期未动工，且未达到闲置土地认定标准；②已动工开发建设但长期停工，且未达到闲置土地认定标准；③已建成但停产或厂房废弃；④已建成但处于半停产状态；⑤容积率达不到约定要求或者明显低于规划要求，且未达到闲置土地认定标准；⑥建设项目投资强度达不到约定要求或工业用地地均税收偏低，且未达到闲置土地认定标准；⑦除前6种类型外，在其他专项工作中被认定为低效用地的工矿仓储用地。</w:t>
      </w:r>
    </w:p>
    <w:p>
      <w:pPr>
        <w:numPr>
          <w:ilvl w:val="0"/>
          <w:numId w:val="1"/>
        </w:numPr>
        <w:ind w:left="0" w:leftChars="0" w:firstLine="0" w:firstLineChars="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类型1至类型7，各类型面积相加应等于低效工矿仓储用地总面积。</w:t>
      </w:r>
    </w:p>
    <w:p>
      <w:pPr>
        <w:ind w:left="0" w:leftChars="0" w:firstLine="0" w:firstLineChars="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3.“城镇开发边界内”指开发区审批范围中依据“三区三线”划定成果判定位于城镇开发边界内的范围。</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560" w:lineRule="exact"/>
        <w:jc w:val="left"/>
        <w:rPr>
          <w:rFonts w:hint="eastAsia" w:ascii="Times New Roman" w:hAnsi="Times New Roman" w:eastAsia="黑体" w:cs="Times New Roman"/>
          <w:sz w:val="32"/>
          <w:szCs w:val="32"/>
          <w:lang w:eastAsia="zh-CN"/>
        </w:rPr>
      </w:pPr>
      <w:bookmarkStart w:id="34" w:name="_Toc6880"/>
      <w:r>
        <w:rPr>
          <w:rFonts w:ascii="Times New Roman" w:hAnsi="Times New Roman" w:eastAsia="黑体" w:cs="Times New Roman"/>
          <w:sz w:val="32"/>
          <w:szCs w:val="32"/>
        </w:rPr>
        <w:t>附</w:t>
      </w:r>
      <w:r>
        <w:rPr>
          <w:rFonts w:hint="eastAsia" w:ascii="Times New Roman" w:hAnsi="Times New Roman" w:eastAsia="黑体" w:cs="Times New Roman"/>
          <w:sz w:val="32"/>
          <w:szCs w:val="32"/>
        </w:rPr>
        <w:t>件</w:t>
      </w:r>
      <w:r>
        <w:rPr>
          <w:rFonts w:hint="eastAsia" w:ascii="Times New Roman" w:hAnsi="Times New Roman" w:eastAsia="黑体" w:cs="Times New Roman"/>
          <w:sz w:val="32"/>
          <w:szCs w:val="32"/>
          <w:lang w:val="en-US" w:eastAsia="zh-CN"/>
        </w:rPr>
        <w:t>B</w:t>
      </w:r>
    </w:p>
    <w:p>
      <w:pPr>
        <w:bidi w:val="0"/>
        <w:jc w:val="center"/>
        <w:rPr>
          <w:rFonts w:hint="eastAsia" w:ascii="黑体" w:hAnsi="黑体" w:eastAsia="黑体" w:cs="黑体"/>
          <w:sz w:val="32"/>
          <w:szCs w:val="32"/>
        </w:rPr>
      </w:pPr>
      <w:r>
        <w:rPr>
          <w:rFonts w:hint="eastAsia" w:ascii="黑体" w:hAnsi="黑体" w:eastAsia="黑体" w:cs="黑体"/>
          <w:sz w:val="32"/>
          <w:szCs w:val="32"/>
          <w:lang w:eastAsia="zh-CN"/>
        </w:rPr>
        <w:t>开发区</w:t>
      </w:r>
      <w:r>
        <w:rPr>
          <w:rFonts w:hint="eastAsia" w:ascii="黑体" w:hAnsi="黑体" w:eastAsia="黑体" w:cs="黑体"/>
          <w:sz w:val="32"/>
          <w:szCs w:val="32"/>
        </w:rPr>
        <w:t>土地集约利用监测统计范围示意图</w:t>
      </w:r>
      <w:bookmarkEnd w:id="34"/>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参评开发区</w:t>
      </w:r>
      <w:r>
        <w:rPr>
          <w:rFonts w:ascii="Times New Roman" w:hAnsi="Times New Roman" w:eastAsia="仿宋_GB2312" w:cs="Times New Roman"/>
          <w:sz w:val="32"/>
          <w:szCs w:val="32"/>
        </w:rPr>
        <w:t>需制作并提交土地集约利用监测统计范围示意图。示意图应以能辨识道路街巷和建筑的遥感影像为底图，用线条清晰标示出批准范围界线（红色</w:t>
      </w:r>
      <w:r>
        <w:rPr>
          <w:rFonts w:hint="eastAsia" w:ascii="Times New Roman" w:hAnsi="Times New Roman" w:eastAsia="仿宋_GB2312" w:cs="Times New Roman"/>
          <w:sz w:val="32"/>
          <w:szCs w:val="32"/>
        </w:rPr>
        <w:t>实</w:t>
      </w:r>
      <w:r>
        <w:rPr>
          <w:rFonts w:ascii="Times New Roman" w:hAnsi="Times New Roman" w:eastAsia="仿宋_GB2312" w:cs="Times New Roman"/>
          <w:sz w:val="32"/>
          <w:szCs w:val="32"/>
        </w:rPr>
        <w:t>线）和实际管理范围界线（黄色虚线）。</w:t>
      </w:r>
    </w:p>
    <w:p>
      <w:pPr>
        <w:spacing w:before="156" w:beforeLines="50" w:after="156" w:afterLines="50"/>
        <w:ind w:firstLine="0" w:firstLineChars="0"/>
        <w:jc w:val="center"/>
        <w:rPr>
          <w:rFonts w:ascii="Times New Roman" w:hAnsi="Times New Roman" w:eastAsia="黑体" w:cs="Times New Roman"/>
          <w:bCs/>
          <w:color w:val="000000"/>
          <w:kern w:val="21"/>
          <w:sz w:val="24"/>
          <w:szCs w:val="24"/>
          <w:highlight w:val="none"/>
        </w:rPr>
      </w:pPr>
      <w:r>
        <w:rPr>
          <w:rFonts w:ascii="Times New Roman" w:hAnsi="Times New Roman" w:eastAsia="黑体" w:cs="Times New Roman"/>
          <w:bCs/>
          <w:color w:val="000000"/>
          <w:kern w:val="21"/>
          <w:sz w:val="24"/>
          <w:szCs w:val="24"/>
          <w:highlight w:val="none"/>
        </w:rPr>
        <w:t xml:space="preserve">附图1 </w:t>
      </w:r>
      <w:r>
        <w:rPr>
          <w:rFonts w:hint="eastAsia" w:ascii="Times New Roman" w:hAnsi="Times New Roman" w:eastAsia="黑体" w:cs="Times New Roman"/>
          <w:bCs/>
          <w:color w:val="000000"/>
          <w:kern w:val="21"/>
          <w:sz w:val="24"/>
          <w:szCs w:val="24"/>
          <w:highlight w:val="none"/>
        </w:rPr>
        <w:t xml:space="preserve"> </w:t>
      </w:r>
      <w:r>
        <w:rPr>
          <w:rFonts w:hint="eastAsia" w:ascii="Times New Roman" w:hAnsi="Times New Roman" w:eastAsia="黑体" w:cs="Times New Roman"/>
          <w:bCs/>
          <w:color w:val="000000"/>
          <w:kern w:val="21"/>
          <w:sz w:val="24"/>
          <w:szCs w:val="24"/>
          <w:highlight w:val="none"/>
          <w:lang w:eastAsia="zh-CN"/>
        </w:rPr>
        <w:t>开发区</w:t>
      </w:r>
      <w:r>
        <w:rPr>
          <w:rFonts w:ascii="Times New Roman" w:hAnsi="Times New Roman" w:eastAsia="黑体" w:cs="Times New Roman"/>
          <w:bCs/>
          <w:color w:val="000000"/>
          <w:kern w:val="21"/>
          <w:sz w:val="24"/>
          <w:szCs w:val="24"/>
          <w:highlight w:val="none"/>
        </w:rPr>
        <w:t>土地集约利用监测统计</w:t>
      </w:r>
      <w:r>
        <w:rPr>
          <w:rFonts w:hint="eastAsia" w:ascii="Times New Roman" w:hAnsi="Times New Roman" w:eastAsia="黑体" w:cs="Times New Roman"/>
          <w:bCs/>
          <w:color w:val="000000"/>
          <w:kern w:val="21"/>
          <w:sz w:val="24"/>
          <w:szCs w:val="24"/>
          <w:highlight w:val="none"/>
        </w:rPr>
        <w:t>范围</w:t>
      </w:r>
      <w:r>
        <w:rPr>
          <w:rFonts w:ascii="Times New Roman" w:hAnsi="Times New Roman" w:eastAsia="黑体" w:cs="Times New Roman"/>
          <w:bCs/>
          <w:color w:val="000000"/>
          <w:kern w:val="21"/>
          <w:sz w:val="24"/>
          <w:szCs w:val="24"/>
          <w:highlight w:val="none"/>
        </w:rPr>
        <w:t>（例图）</w:t>
      </w:r>
    </w:p>
    <w:p>
      <w:pPr>
        <w:ind w:firstLine="0" w:firstLineChars="0"/>
        <w:jc w:val="cente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274310" cy="3728085"/>
            <wp:effectExtent l="0" t="0" r="2540" b="57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274310" cy="3728085"/>
                    </a:xfrm>
                    <a:prstGeom prst="rect">
                      <a:avLst/>
                    </a:prstGeom>
                  </pic:spPr>
                </pic:pic>
              </a:graphicData>
            </a:graphic>
          </wp:inline>
        </w:drawing>
      </w:r>
    </w:p>
    <w:p>
      <w:pPr>
        <w:spacing w:line="400" w:lineRule="exact"/>
        <w:jc w:val="center"/>
        <w:rPr>
          <w:rFonts w:ascii="Times New Roman" w:hAnsi="Times New Roman" w:eastAsia="黑体" w:cs="Times New Roman"/>
          <w:bCs/>
          <w:sz w:val="32"/>
          <w:szCs w:val="32"/>
        </w:rPr>
      </w:pPr>
    </w:p>
    <w:p>
      <w:pPr>
        <w:spacing w:line="560" w:lineRule="exact"/>
        <w:ind w:firstLine="640" w:firstLineChars="200"/>
        <w:rPr>
          <w:rFonts w:ascii="Times New Roman" w:hAnsi="Times New Roman" w:eastAsia="仿宋" w:cs="Times New Roman"/>
          <w:sz w:val="32"/>
          <w:szCs w:val="32"/>
        </w:rPr>
      </w:pPr>
    </w:p>
    <w:p>
      <w:pPr>
        <w:spacing w:line="560" w:lineRule="exact"/>
        <w:ind w:firstLine="640" w:firstLineChars="200"/>
        <w:rPr>
          <w:rFonts w:ascii="Times New Roman" w:hAnsi="Times New Roman" w:eastAsia="仿宋" w:cs="Times New Roman"/>
          <w:sz w:val="32"/>
          <w:szCs w:val="32"/>
        </w:rPr>
      </w:pPr>
    </w:p>
    <w:p>
      <w:pPr>
        <w:spacing w:line="560" w:lineRule="exact"/>
        <w:ind w:firstLine="640" w:firstLineChars="200"/>
        <w:rPr>
          <w:rFonts w:ascii="Times New Roman" w:hAnsi="Times New Roman" w:eastAsia="仿宋" w:cs="Times New Roman"/>
          <w:sz w:val="32"/>
          <w:szCs w:val="32"/>
        </w:rPr>
        <w:sectPr>
          <w:pgSz w:w="11906" w:h="16838"/>
          <w:pgMar w:top="1440" w:right="1800" w:bottom="1440" w:left="1800" w:header="851" w:footer="992" w:gutter="0"/>
          <w:pgNumType w:fmt="numberInDash"/>
          <w:cols w:space="425" w:num="1"/>
          <w:docGrid w:type="lines" w:linePitch="312" w:charSpace="0"/>
        </w:sectPr>
      </w:pPr>
    </w:p>
    <w:p>
      <w:pPr>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附件2</w:t>
      </w:r>
    </w:p>
    <w:p>
      <w:pPr>
        <w:spacing w:line="560" w:lineRule="exact"/>
        <w:jc w:val="left"/>
        <w:rPr>
          <w:rFonts w:ascii="Times New Roman" w:hAnsi="Times New Roman" w:eastAsia="黑体" w:cs="Times New Roman"/>
          <w:sz w:val="32"/>
          <w:szCs w:val="32"/>
        </w:rPr>
      </w:pPr>
    </w:p>
    <w:p>
      <w:pPr>
        <w:spacing w:line="560" w:lineRule="exact"/>
        <w:jc w:val="center"/>
        <w:rPr>
          <w:rFonts w:ascii="Times New Roman" w:hAnsi="Times New Roman" w:eastAsia="黑体" w:cs="Times New Roman"/>
          <w:sz w:val="32"/>
          <w:szCs w:val="32"/>
        </w:rPr>
      </w:pPr>
      <w:r>
        <w:rPr>
          <w:rFonts w:hint="eastAsia" w:ascii="Times New Roman" w:hAnsi="Times New Roman" w:eastAsia="黑体" w:cs="Times New Roman"/>
          <w:sz w:val="32"/>
          <w:szCs w:val="32"/>
        </w:rPr>
        <w:t>全省第一、二类产业园历年参评情况</w:t>
      </w:r>
    </w:p>
    <w:tbl>
      <w:tblPr>
        <w:tblStyle w:val="8"/>
        <w:tblW w:w="5261" w:type="pct"/>
        <w:jc w:val="center"/>
        <w:tblLayout w:type="autofit"/>
        <w:tblCellMar>
          <w:top w:w="0" w:type="dxa"/>
          <w:left w:w="108" w:type="dxa"/>
          <w:bottom w:w="0" w:type="dxa"/>
          <w:right w:w="108" w:type="dxa"/>
        </w:tblCellMar>
      </w:tblPr>
      <w:tblGrid>
        <w:gridCol w:w="680"/>
        <w:gridCol w:w="922"/>
        <w:gridCol w:w="1099"/>
        <w:gridCol w:w="5251"/>
        <w:gridCol w:w="1110"/>
        <w:gridCol w:w="1308"/>
        <w:gridCol w:w="1218"/>
        <w:gridCol w:w="1218"/>
        <w:gridCol w:w="2108"/>
      </w:tblGrid>
      <w:tr>
        <w:tblPrEx>
          <w:tblCellMar>
            <w:top w:w="0" w:type="dxa"/>
            <w:left w:w="108" w:type="dxa"/>
            <w:bottom w:w="0" w:type="dxa"/>
            <w:right w:w="108" w:type="dxa"/>
          </w:tblCellMar>
        </w:tblPrEx>
        <w:trPr>
          <w:trHeight w:val="1380" w:hRule="atLeast"/>
          <w:tblHeader/>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序号</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所在市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宋体" w:cs="Times New Roman"/>
                <w:color w:val="000000"/>
                <w:szCs w:val="21"/>
              </w:rPr>
            </w:pPr>
            <w:r>
              <w:rPr>
                <w:rStyle w:val="15"/>
                <w:rFonts w:hint="eastAsia" w:ascii="仿宋_GB2312" w:hAnsi="仿宋_GB2312" w:eastAsia="仿宋_GB2312" w:cs="仿宋_GB2312"/>
                <w:sz w:val="21"/>
                <w:szCs w:val="21"/>
                <w:lang w:val="en-US" w:eastAsia="zh-CN" w:bidi="ar"/>
              </w:rPr>
              <w:t>产业园</w:t>
            </w:r>
            <w:r>
              <w:rPr>
                <w:rStyle w:val="15"/>
                <w:rFonts w:hint="eastAsia" w:ascii="仿宋_GB2312" w:hAnsi="仿宋_GB2312" w:eastAsia="仿宋_GB2312" w:cs="仿宋_GB2312"/>
                <w:sz w:val="21"/>
                <w:szCs w:val="21"/>
                <w:lang w:bidi="ar"/>
              </w:rPr>
              <w:br w:type="textWrapping"/>
            </w:r>
            <w:r>
              <w:rPr>
                <w:rFonts w:hint="eastAsia" w:ascii="仿宋_GB2312" w:hAnsi="仿宋_GB2312" w:eastAsia="仿宋_GB2312" w:cs="仿宋_GB2312"/>
                <w:color w:val="000000"/>
                <w:kern w:val="0"/>
                <w:szCs w:val="21"/>
                <w:lang w:bidi="ar"/>
              </w:rPr>
              <w:t>代码</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jc w:val="center"/>
              <w:textAlignment w:val="center"/>
              <w:rPr>
                <w:rFonts w:ascii="Times New Roman" w:hAnsi="Times New Roman" w:eastAsia="宋体" w:cs="Times New Roman"/>
                <w:color w:val="000000"/>
                <w:szCs w:val="21"/>
              </w:rPr>
            </w:pPr>
            <w:r>
              <w:rPr>
                <w:rFonts w:hint="eastAsia" w:ascii="仿宋_GB2312" w:hAnsi="Times New Roman" w:eastAsia="仿宋_GB2312" w:cs="仿宋_GB2312"/>
                <w:color w:val="000000"/>
                <w:kern w:val="0"/>
                <w:szCs w:val="21"/>
                <w:lang w:bidi="ar"/>
              </w:rPr>
              <w:t>产业园</w:t>
            </w:r>
            <w:r>
              <w:rPr>
                <w:rFonts w:ascii="仿宋_GB2312" w:hAnsi="Times New Roman" w:eastAsia="仿宋_GB2312" w:cs="仿宋_GB2312"/>
                <w:color w:val="000000"/>
                <w:kern w:val="0"/>
                <w:szCs w:val="21"/>
                <w:lang w:bidi="ar"/>
              </w:rPr>
              <w:t>名称</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宋体" w:cs="Times New Roman"/>
                <w:color w:val="000000"/>
                <w:szCs w:val="21"/>
              </w:rPr>
            </w:pPr>
            <w:r>
              <w:rPr>
                <w:rFonts w:hint="eastAsia" w:ascii="仿宋_GB2312" w:hAnsi="Times New Roman" w:eastAsia="仿宋_GB2312" w:cs="仿宋_GB2312"/>
                <w:color w:val="000000"/>
                <w:kern w:val="0"/>
                <w:szCs w:val="21"/>
                <w:lang w:bidi="ar"/>
              </w:rPr>
              <w:t>产业园</w:t>
            </w:r>
            <w:bookmarkStart w:id="35" w:name="_GoBack"/>
            <w:bookmarkEnd w:id="35"/>
            <w:r>
              <w:rPr>
                <w:rStyle w:val="15"/>
                <w:rFonts w:eastAsia="宋体"/>
                <w:sz w:val="21"/>
                <w:szCs w:val="21"/>
                <w:lang w:bidi="ar"/>
              </w:rPr>
              <w:br w:type="textWrapping"/>
            </w:r>
            <w:r>
              <w:rPr>
                <w:rFonts w:ascii="仿宋_GB2312" w:hAnsi="Times New Roman" w:eastAsia="仿宋_GB2312" w:cs="仿宋_GB2312"/>
                <w:color w:val="000000"/>
                <w:kern w:val="0"/>
                <w:szCs w:val="21"/>
                <w:lang w:bidi="ar"/>
              </w:rPr>
              <w:t>类型</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2021</w:t>
            </w:r>
            <w:r>
              <w:rPr>
                <w:rFonts w:ascii="仿宋_GB2312" w:hAnsi="Times New Roman" w:eastAsia="仿宋_GB2312" w:cs="仿宋_GB2312"/>
                <w:color w:val="000000"/>
                <w:kern w:val="0"/>
                <w:szCs w:val="21"/>
                <w:lang w:bidi="ar"/>
              </w:rPr>
              <w:t>年是否参与产业园用地情况总调查</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2022</w:t>
            </w:r>
            <w:r>
              <w:rPr>
                <w:rFonts w:ascii="仿宋_GB2312" w:hAnsi="Times New Roman" w:eastAsia="仿宋_GB2312" w:cs="仿宋_GB2312"/>
                <w:color w:val="000000"/>
                <w:kern w:val="0"/>
                <w:szCs w:val="21"/>
                <w:lang w:bidi="ar"/>
              </w:rPr>
              <w:t>年是否参与开发区监测统计</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是否参与</w:t>
            </w:r>
            <w:r>
              <w:rPr>
                <w:rStyle w:val="15"/>
                <w:rFonts w:eastAsia="宋体"/>
                <w:sz w:val="21"/>
                <w:szCs w:val="21"/>
                <w:lang w:bidi="ar"/>
              </w:rPr>
              <w:t>2023</w:t>
            </w:r>
            <w:r>
              <w:rPr>
                <w:rFonts w:ascii="仿宋_GB2312" w:hAnsi="Times New Roman" w:eastAsia="仿宋_GB2312" w:cs="仿宋_GB2312"/>
                <w:color w:val="000000"/>
                <w:kern w:val="0"/>
                <w:szCs w:val="21"/>
                <w:lang w:bidi="ar"/>
              </w:rPr>
              <w:t>年度开发区监测统计</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备注</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G372024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G373078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明水经济技术开发区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G372110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莱芜高新技术产业开发区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济南章锦综合保税区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济南临港经济开发区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山东济北经济开发区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山东商河经济开发区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山东济南钢城区经济开发区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济南槐荫经济开发区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济南新材料产业园区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山东平阴经济开发区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山东济南莱芜经济开发区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济北生命科技产业园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济北食品饮料城（产业园）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济北</w:t>
            </w:r>
            <w:r>
              <w:rPr>
                <w:rStyle w:val="17"/>
                <w:rFonts w:eastAsia="宋体"/>
                <w:sz w:val="21"/>
                <w:szCs w:val="21"/>
                <w:lang w:bidi="ar"/>
              </w:rPr>
              <w:t>·</w:t>
            </w:r>
            <w:r>
              <w:rPr>
                <w:rStyle w:val="16"/>
                <w:rFonts w:hint="default" w:hAnsi="Times New Roman"/>
                <w:sz w:val="21"/>
                <w:szCs w:val="21"/>
                <w:lang w:bidi="ar"/>
              </w:rPr>
              <w:t>智造城（产业园）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山东（济北）国际创新产业园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商河县许商民营经济产业园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商河县玉皇庙民营经济产业园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贾庄镇民营经济工业集中区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济南新城工业基地</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泉城国际文化创意产业园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济南刁镇化工产业园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商河化工产业园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济南市植保科技工业园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济南商河通航产业园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商河县孙集机械工业园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济北创新智慧产业园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高端装备产业园（琦富产业园）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平阴生命科技园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济南长清创新谷</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济南长清大学科技园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莱芜口镇化工助剂产业园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济南市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Ⅱ370410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济南农业高新技术产业示范区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kern w:val="0"/>
                <w:szCs w:val="21"/>
                <w:lang w:bidi="ar"/>
              </w:rPr>
              <w:t>G373090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青岛空港综合保税区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000000"/>
                <w:szCs w:val="21"/>
              </w:rPr>
            </w:pPr>
            <w:r>
              <w:rPr>
                <w:rFonts w:hint="eastAsia" w:ascii="仿宋_GB2312" w:hAnsi="宋体"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G371028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G376008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青岛石老人国家旅游度假区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G372025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青岛胶州湾综合保税区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G373079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青岛西海岸综合保税区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青岛前湾综合保税区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胶州经济技术开发区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G373012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青岛即墨综合保税区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S377014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山东即墨经济开发区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S377016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山东莱西经济开发区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青岛环海经济开发区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S378015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青岛蓝谷高新技术产业开发区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S377011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山东平度经济开发区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S379010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青岛城阳工业园区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中国</w:t>
            </w:r>
            <w:r>
              <w:rPr>
                <w:rStyle w:val="17"/>
                <w:rFonts w:eastAsia="宋体"/>
                <w:sz w:val="21"/>
                <w:szCs w:val="21"/>
                <w:lang w:bidi="ar"/>
              </w:rPr>
              <w:t>-</w:t>
            </w:r>
            <w:r>
              <w:rPr>
                <w:rStyle w:val="16"/>
                <w:rFonts w:hint="default" w:hAnsi="Times New Roman"/>
                <w:sz w:val="21"/>
                <w:szCs w:val="21"/>
                <w:lang w:bidi="ar"/>
              </w:rPr>
              <w:t>上海合作组织地方经贸合作示范区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青岛董家口化工产业园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平度新河化工产业园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Ⅱ371001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青岛科技创新园（原名青岛服装工业园）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Ⅱ371002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青岛汽车产业新城</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Ⅱ371003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跨境电商小镇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Ⅱ371004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数字装备产业园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青岛市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Ⅱ371203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莱西市电子商务产业园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G372026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淄博高新技术产业开发区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淄博综合保税区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S377018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山东淄川经济开发区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S377019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山东博山经济开发区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S377020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山东淄博经济开发区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S377022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山东周村经济开发区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S377023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山东临淄经济开发区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S377025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山东桓台经济开发区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S379024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山东齐鲁化学工业园区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S377021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山东张店经济开发区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S377027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山东高青经济开发区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山东沂源经济开发区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S379026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淄博东岳经济开发区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淄博科技工业园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淄博先进制造业创新示范区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淄博建陶产业创新示范园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新材料（医药化工）园区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淄川新材料园</w:t>
            </w:r>
            <w:r>
              <w:rPr>
                <w:rStyle w:val="17"/>
                <w:rFonts w:eastAsia="宋体"/>
                <w:sz w:val="21"/>
                <w:szCs w:val="21"/>
                <w:lang w:bidi="ar"/>
              </w:rPr>
              <w:t>(</w:t>
            </w:r>
            <w:r>
              <w:rPr>
                <w:rStyle w:val="16"/>
                <w:rFonts w:hint="default" w:hAnsi="Times New Roman"/>
                <w:sz w:val="21"/>
                <w:szCs w:val="21"/>
                <w:lang w:bidi="ar"/>
              </w:rPr>
              <w:t>光电园区</w:t>
            </w:r>
            <w:r>
              <w:rPr>
                <w:rStyle w:val="17"/>
                <w:rFonts w:eastAsia="宋体"/>
                <w:sz w:val="21"/>
                <w:szCs w:val="21"/>
                <w:lang w:bidi="ar"/>
              </w:rPr>
              <w:t>)</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山东省高端装备制造产业园区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山东省高端装备制造产业园区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李家工业园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Ⅱ370019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王村新材料产业聚集区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王村节能环保产业聚集区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齐鲁化学工业区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张店东部化工区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金山镇边河非化工企业集聚区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金山镇洋浒崖非化工企业集聚区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朱台镇工业集中区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朱台镇厨房设备加工区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智能制造产业园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Ⅱ370029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健康医药产业园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马桥化工产业园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索镇云涛纺织项目集中区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东岳氟硅材料产业园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起凤镇工业项目集中区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唐山镇贵和工业项目集中区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黄三角药谷产业园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高端装备制造产业园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Ⅱ370039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山东高青电子信息产业园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Ⅱ370040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高青化工产业园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Ⅱ370041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沂源化工产业园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Ⅱ370042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悦庄工业园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Ⅱ371601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敬仲镇工业集中区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Ⅱ371602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稷下街道智能装备制造工业集聚区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Ⅱ371603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博山新材料工业集聚区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Ⅱ371604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博山日用玻璃工业集聚区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淄博市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Ⅱ371605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博山机械装备制造工业集聚区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G371162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滕州经济技术开发区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枣庄高新技术产业开发区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S377031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山东枣庄经济开发区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S377030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山东薛城经济开发区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S377032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山东峄城经济开发区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S377033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山东山亭经济开发区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S377034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山东台儿庄经济开发区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Ⅱ370231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鲁南高科技化工园区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Ⅱ370232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薛城化工产业园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Ⅱ370234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枣庄市市中区水处理剂产业园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Ⅱ372201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枣庄市市中区税郭纺织工业园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Ⅱ372202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枣庄市市中区孟庄民营科技园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Ⅱ372203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鲁南大健康产业创新创业孵化中心</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枣庄市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Ⅱ372204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宋体" w:eastAsia="仿宋_GB2312" w:cs="仿宋_GB2312"/>
                <w:color w:val="000000"/>
                <w:szCs w:val="21"/>
              </w:rPr>
            </w:pPr>
            <w:r>
              <w:rPr>
                <w:rFonts w:hint="eastAsia" w:ascii="仿宋_GB2312" w:hAnsi="宋体" w:eastAsia="仿宋_GB2312" w:cs="仿宋_GB2312"/>
                <w:color w:val="000000"/>
                <w:kern w:val="0"/>
                <w:szCs w:val="21"/>
                <w:lang w:bidi="ar"/>
              </w:rPr>
              <w:t>峄城化工产业园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黄河三角洲农业高新技术产业示范区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S377038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山东广饶经济开发区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S377039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山东垦利经济开发区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山东利津经济开发区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山东河口经济开发区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S378036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S377156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东营港经济开发区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S377157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大王经济开发区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Ⅱ370049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垦利胜坨化工产业园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东营港化工产业园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利津滨海新区化工产业园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东营河口化工产业园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东营广利化工产业园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东营市东营区化工产业园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Ⅱ370195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广饶化工产业园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Ⅱ372801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东营软件园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Ⅱ372802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黄河口高新技术创业园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Ⅱ372803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中国石油大学国家大学科技园生态谷</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Ⅱ372804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垦利石化产业园区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Ⅱ372805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永安镇中小企业创业园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东营市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Ⅱ372807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东营西郊现代服务区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G371029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招远经济技术开发区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山东牟平经济开发区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山东海阳经济开发区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山东莱州经济开发区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山东莱阳经济开发区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山东烟台福山经济开发区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山东龙口经济开发区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山东蓬莱经济开发区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S377043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山东烟台莱山经济开发区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S378052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山东龙口高新技术产业园区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中国（山东）自由贸易试验区烟台片区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中韩（烟台）产业园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烟台国际招商产业园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莱州银海化工产业园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烟台高新技术产业开发区卧龙园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牟平区恒邦化工产业园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莱阳化工产业园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蓬莱化工产业园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Ⅱ370230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山东裕龙石化产业园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Ⅱ373401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烟台高新技术产业开发区只楚园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Ⅱ373501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烟台市莱山区凤凰工业园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169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Ⅱ373551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中韩（烟台）产业园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Ⅱ373553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山东省牟平台湾工业园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Ⅱ373601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刘家沟工业园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Ⅱ373651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烟台市大学生创业园区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Ⅱ373901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生物医药产业园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Ⅱ373902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双创示范园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Ⅱ373903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中德新材料产业园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Ⅱ373976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山东省海阳核电装备制造工业园区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Ⅱ373977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海阳碧城工业区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Ⅱ373452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夹河科技园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Ⅱ373453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智能制造产业园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烟台市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Ⅱ373454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智造芯城信息产业园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G372027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潍坊滨海经济技术开发区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FF0000"/>
                <w:szCs w:val="21"/>
              </w:rPr>
            </w:pPr>
            <w:r>
              <w:rPr>
                <w:rStyle w:val="18"/>
                <w:rFonts w:hint="default" w:hAnsi="Times New Roman"/>
                <w:color w:val="auto"/>
                <w:sz w:val="21"/>
                <w:szCs w:val="21"/>
                <w:lang w:bidi="ar"/>
              </w:rPr>
              <w:t>山东寿光经济开发区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山东高密经济开发区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山东安丘经济开发区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山东青州经济开发区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山东诸城经济开发区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山东昌邑经济开发区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山东昌乐经济开发区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山东临朐经济开发区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S377056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山东潍城经济开发区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S377054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山东潍坊经济开发区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S378057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山东潍坊凤凰山高新技术产业园区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S377055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山东潍坊奎文经济开发区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S377160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潍坊峡山生态经济开发区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Ⅱ370125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高新技术产业园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Ⅱ370126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高端装备制造产业园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Ⅱ370127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省级化工产业园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中德产业园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Ⅱ370129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Ⅱ370130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智慧产业园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Ⅱ370131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高端食品产业园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Ⅱ370132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高端铝加工产业园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乐埠山生态经济发展服务中心园区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山东潍坊广告产业示范园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潍坊光电产业园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潍坊软件园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潍坊蓝色智谷园区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潍坊生物医药产业园服务中心</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山东测绘地理信息产业基地</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昌邑下营化工产业园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寿光羊口化工产业园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潍坊滨海化工产业园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诸城化工产业园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寿光侯镇化工产业园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昌邑龙池化工产业园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临朐化工产业园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Ⅱ370226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昌乐朱刘化工产业园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Ⅱ374001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山旺镇中小企业创业产业园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Ⅱ374002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冶源工业园（冶泉工业园）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Ⅱ374003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中国柏城互联网</w:t>
            </w:r>
            <w:r>
              <w:rPr>
                <w:rStyle w:val="17"/>
                <w:rFonts w:eastAsia="宋体"/>
                <w:sz w:val="21"/>
                <w:szCs w:val="21"/>
                <w:lang w:bidi="ar"/>
              </w:rPr>
              <w:t>+</w:t>
            </w:r>
            <w:r>
              <w:rPr>
                <w:rStyle w:val="16"/>
                <w:rFonts w:hint="default" w:hAnsi="Times New Roman"/>
                <w:sz w:val="21"/>
                <w:szCs w:val="21"/>
                <w:lang w:bidi="ar"/>
              </w:rPr>
              <w:t>电子商务创业园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Ⅱ374004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高密市咸家工业区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Ⅱ374005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冶源镇杨善工业园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潍坊市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Ⅱ374006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冶源宝山创业园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S377076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山东梁山经济开发区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S377069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山东济宁经济开发区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229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S377070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山东济宁运河经济开发区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S377071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山东曲阜经济开发区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S377074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山东邹城经济开发区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S377077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山东泗水经济开发区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S377079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山东鱼台经济开发区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山东嘉祥经济开发区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山东汶上经济开发区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S377078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山东微山经济开发区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山东金乡经济开发区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S379073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山东兖州工业园区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S379075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山东邹城工业园区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S379156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济宁新材料产业园区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Ⅱ370134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汶上化工产业园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金乡县鲁西南商贸物流区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济宁市食品工业经济技术开发区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兖州化学助剂产业园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鱼台县张黄化工产业园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Ⅱ374841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宋体" w:eastAsia="仿宋_GB2312" w:cs="仿宋_GB2312"/>
                <w:color w:val="000000"/>
                <w:szCs w:val="21"/>
              </w:rPr>
            </w:pPr>
            <w:r>
              <w:rPr>
                <w:rFonts w:hint="eastAsia" w:ascii="仿宋_GB2312" w:hAnsi="宋体" w:eastAsia="仿宋_GB2312" w:cs="仿宋_GB2312"/>
                <w:color w:val="000000"/>
                <w:kern w:val="0"/>
                <w:szCs w:val="21"/>
                <w:lang w:bidi="ar"/>
              </w:rPr>
              <w:t>邹城化工产业园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梁山涂料产业园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Ⅱ374641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济宁高新区安全装备产业园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Ⅱ374643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济宁国际软件人才及产业基地</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Ⅱ374644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产学研基地片区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Ⅱ374645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山东新材料产业基地</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Ⅱ374646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济宁高新区信息产业园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Ⅱ374649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济宁市医药产业园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Ⅱ374650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济宁高新区滨河科技园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Ⅱ374652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济宁市智能终端产业园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Ⅱ375041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嘉祥化工产业园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济宁市生物（食品）科技工业园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梁山（韩岗）环保装备产业园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259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梁山玻璃产业园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梁山县家居产业园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梁山县现代农业产业园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梁山县新型建材产业园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山东梁山稀土新材料产业园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济宁市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Ⅱ375129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梁山临港产业园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泰安高新技术产业开发区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山东新泰经济开发区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S378087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山东肥城高新技术产业园区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山东岱岳经济开发区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山东泰山经济开发区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山东宁阳经济开发区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S377089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山东东平经济开发区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S377162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肥城经济开发区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肥城市资源循环利用基地发展中心</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泰山新兴产业发展中心</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新泰化工产业园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宁阳化工产业园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肥城化工产业园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泰安岱岳化工产业园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279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Ⅱ375202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蒋集畜禽产品产业园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Ⅱ375203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山东宁阳华丰工业园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Ⅱ375204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山东宁阳钢球工业园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泰安市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Ⅱ375205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东疏装饰材料产业园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G372028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威海火炬高技术产业开发区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G371030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威海临港经济技术开发区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S377091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山东荣成经济开发区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S377093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山东文登经济开发区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S377095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山东乳山经济开发区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S379094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威海南海经济开发区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威海市文登区化工产业园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乳山经济开发区山东半岛蓝色经济区海洋食品产业园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乳山市新能源（汽车）科技产业园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威海南海化工产业园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威海临港塑料助剂产业园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Ⅱ375951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威海中韩自贸区地方经济合作示范区产业园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Ⅱ375952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威海服务贸易产业园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威海市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Ⅱ375953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众科创新工业园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日照经济技术开发区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日照综合保税区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S377098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山东岚山经济开发区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S377099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山东日照市北经济开发区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S377100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山东莒县经济开发区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S378097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山东日照高新技术产业开发区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Ⅱ370110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日照空港经济开发区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Ⅱ370111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东港区钢铁配套产业园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Ⅱ370138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长虹岭工业聚集区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Ⅱ370139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海右化工产业园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309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浮来山海洋装备制造产业园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城西物流产业聚集区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高新技术产业园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阎庄工业聚集区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Ⅱ370144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招贤工业聚集区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岚山化工产业园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岚山木材园区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日照市岚山区钢铁配套产业园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日照市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日照生物化工产业园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G372111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319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G373086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临沂综合保税区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临沂河东经济开发区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山东沂水经济开发区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山东兰陵经济开发区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山东沂南经济开发区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山东临沭经济开发区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山东费县经济开发区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山东莒南经济开发区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山东郯城经济开发区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329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山东蒙阴经济开发区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山东平邑经济开发区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临沂兰山经济开发区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S377158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临沂临港经济开发区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S377161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罗庄经济开发区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核心产业园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金锣科技园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中国木业科技城</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国际陆港</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鲁南制药产业园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中国仪表科技产业园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Ⅱ370059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费县经济开发区核心区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费县经济开发区循环经济园区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费县经济开发区轻工业园区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费县经济开发区木业化工产业园区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费县经济开发区航空产业园区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临沂科技创业园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临沂龙湖软件园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滨海新型工业化实验区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青云工业园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349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店头工业园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Ⅱ370069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孟良崮工业园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银麦工业园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高端装备产业园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电商物流产业园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高端木业家居产业园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食品（罐头）产业园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双创科技园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长虹项目园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359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循环产业园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Ⅱ370079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高端装备制造产业园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新能源专用车及智能电器产业园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生物医药产业园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铝镁新材料产业园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绿色转型产业园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沂水县庐山化工园区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Ⅱ370087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沂水县城北项目园区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369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Ⅱ370123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核心区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临沭经济开发区化工产业园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临沂临港化工产业园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郯城化工产业园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莒南化工产业园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撤销</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沂南密胺产业园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Ⅱ370210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费县粘合剂化工产业园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Ⅱ377002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郯城县高科技电子产业园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Ⅱ377003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郯城县循环经济产业园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临沂市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Ⅱ377004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郯城县物流产业园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德州经济技术开发区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G372112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德州高新技术产业开发区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山东齐河经济开发区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S377117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山东德州运河经济开发区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山东乐陵经济开发区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山东宁津经济开发区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山东夏津经济开发区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山东临邑经济开发区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山东庆云经济开发区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山东武城经济开发区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山东陵城区经济开发区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山东平原经济开发区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Ⅱ370115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德州新旧动能转换示范区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Ⅱ370116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平原县化工产业园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Ⅱ370118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临邑化工产业园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临邑县高新技术产业园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Ⅱ370159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临邑县西部产业园区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Ⅱ377601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德州运河恒升化工产业园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Ⅱ377751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禹城化工产业园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Ⅱ377801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乐陵化工产业园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399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Ⅱ377901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齐河县齐鲁高新技术开发区产业园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德州市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Ⅱ378051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龙门经济开发区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G371159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聊城经济技术开发区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S377129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聊城嘉明经济开发区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S377131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山东临清经济开发区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否</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S377133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山东高唐经济开发区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S377135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山东冠县经济开发区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S377136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山东东阿经济开发区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S377137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山东聊城鲁西经济开发区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S377132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山东茌平经济开发区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409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S377134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山东阳谷经济开发区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r>
              <w:rPr>
                <w:rFonts w:hint="eastAsia" w:ascii="仿宋_GB2312" w:hAnsi="仿宋_GB2312" w:eastAsia="仿宋_GB2312" w:cs="仿宋_GB2312"/>
                <w:color w:val="000000"/>
                <w:szCs w:val="21"/>
              </w:rPr>
              <w:t>原名阳谷祥光经开区</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S378157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聊城高新技术产业开发区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Ⅱ370203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聊城化工产业园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Ⅱ378209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莘县化工产业园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Ⅱ378215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高唐县新旧动能转换示范园区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Ⅱ378217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茌平县化工园区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聊城市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Ⅱ378206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山东阳谷祥光经济开发区光电信息产业园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G371161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邹平经济技术开发区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G371160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滨州经济技术开发区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A</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S377141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山东博兴经济开发区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419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S377142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山东阳信经济开发区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S377143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山东惠民经济开发区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S377145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山东沾化经济开发区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S379144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山东无棣工业园区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S379175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ascii="Times New Roman" w:hAnsi="Times New Roman" w:eastAsia="宋体" w:cs="Times New Roman"/>
                <w:color w:val="000000"/>
                <w:szCs w:val="21"/>
              </w:rPr>
            </w:pPr>
            <w:r>
              <w:rPr>
                <w:rStyle w:val="16"/>
                <w:rFonts w:hint="default" w:hAnsi="Times New Roman"/>
                <w:sz w:val="21"/>
                <w:szCs w:val="21"/>
                <w:lang w:bidi="ar"/>
              </w:rPr>
              <w:t>山东滨州工业园区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S378158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滨州高新技术产业开发区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S377159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滨州北海经济开发区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Ⅱ370180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滨州鲁北化工产业园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Ⅱ370181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滨州滨城化工产业园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Ⅱ370182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沾化经济开发区化工产业园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Ⅱ370183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阳信化工产业园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Ⅱ370184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Ⅱ370185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无棣新海化工工业园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Ⅱ370186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滨州临港化工产业园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Ⅱ379001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沾化经济开发区城北工业园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Ⅱ379002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沾化经济开发区临港产业园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Ⅱ379003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大高航空高新产业园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Ⅱ379101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陆港物流园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Ⅱ379102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阳信水落坡镇民俗文化产业园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中国草柳编文化创意产业园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博兴县曹王镇项目集中区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博兴县湖滨镇轻纺工业园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博兴县湖滨镇项目集中区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博兴县店子镇项目集中区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博兴县陈户项目集中区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博兴县陈户镇物流小镇产业园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博兴县陈户镇仁孝文化园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Ⅱ379209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博兴县兴福民营经济科技园区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韩店镇民营科技园区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好生产业集中区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449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焦桥涉铝产业集中区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Ⅱ379254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九户产业集中区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Ⅱ379255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明集镇项目集中区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Ⅱ379256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台子镇工业园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滨州市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Ⅱ379257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魏桥铝深加工产业园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S377146</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山东菏泽经济开发区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S377163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菏泽牡丹经济开发区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S378147</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菏泽高新技术产业开发区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S379148</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山东成武经济开发区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S379149</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山东曹县经济开发区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S379150</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山东鄄城经济开发区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S379151</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山东巨野经济开发区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S379152</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山东郓城经济开发区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S379153</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山东定陶经济开发区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S379154</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山东单县经济开发区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S379155</w:t>
            </w:r>
          </w:p>
        </w:tc>
        <w:tc>
          <w:tcPr>
            <w:tcW w:w="1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000000"/>
                <w:szCs w:val="21"/>
              </w:rPr>
            </w:pPr>
            <w:r>
              <w:rPr>
                <w:rStyle w:val="16"/>
                <w:rFonts w:hint="default" w:hAnsi="Times New Roman"/>
                <w:sz w:val="21"/>
                <w:szCs w:val="21"/>
                <w:lang w:bidi="ar"/>
              </w:rPr>
              <w:t>山东东明经济开发区</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一类</w:t>
            </w:r>
            <w:r>
              <w:rPr>
                <w:rStyle w:val="17"/>
                <w:rFonts w:eastAsia="宋体"/>
                <w:sz w:val="21"/>
                <w:szCs w:val="21"/>
                <w:lang w:bidi="ar"/>
              </w:rPr>
              <w:t>B</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定陶润鑫化工产业园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曹县化工产业园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Ⅱ370092</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曹县中小企业孵化园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Ⅱ370093</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成武化工产业园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成武县港航产业园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Ⅱ370095</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单县化工产业园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Ⅱ370096</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巨野化工产业园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Ⅱ370097</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郓城化工产业园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Ⅱ370098</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鄄城化工产业园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Ⅱ370099</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东明石化产业园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Ⅱ370100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东明工程塑料产业园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Ⅱ370167</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安兴镇返乡创业园区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Ⅱ370168</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黄</w:t>
            </w:r>
            <w:r>
              <w:rPr>
                <w:rStyle w:val="19"/>
                <w:rFonts w:hint="default"/>
                <w:sz w:val="21"/>
                <w:szCs w:val="21"/>
                <w:lang w:bidi="ar"/>
              </w:rPr>
              <w:t>堽</w:t>
            </w:r>
            <w:r>
              <w:rPr>
                <w:rFonts w:ascii="仿宋_GB2312" w:hAnsi="Times New Roman" w:eastAsia="仿宋_GB2312" w:cs="仿宋_GB2312"/>
                <w:color w:val="000000"/>
                <w:kern w:val="0"/>
                <w:szCs w:val="21"/>
                <w:lang w:bidi="ar"/>
              </w:rPr>
              <w:t>镇工业项目集中区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Ⅱ370169</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李村镇轻工业项目集中区</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小留镇中小微企业孵化产业园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菏泽高新技术产业开发区生物医药产业园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Ⅱ370172</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菏泽高新技术产业开发区新材料新装备产业园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Ⅱ370173</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菏泽高新技术产业开发区医养健康食品产业园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大集镇淘宝产业园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Ⅱ370175</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鄄城县中药材产业园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是</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r>
      <w:tr>
        <w:tblPrEx>
          <w:tblCellMar>
            <w:top w:w="0" w:type="dxa"/>
            <w:left w:w="108" w:type="dxa"/>
            <w:bottom w:w="0" w:type="dxa"/>
            <w:right w:w="108" w:type="dxa"/>
          </w:tblCellMar>
        </w:tblPrEx>
        <w:trPr>
          <w:trHeight w:val="315" w:hRule="atLeast"/>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Style w:val="16"/>
                <w:rFonts w:hint="default" w:hAnsi="Times New Roman"/>
                <w:sz w:val="21"/>
                <w:szCs w:val="21"/>
                <w:lang w:bidi="ar"/>
              </w:rPr>
              <w:t>菏泽市</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Ⅱ379401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精纺、机械加工产业园</w:t>
            </w: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ascii="仿宋_GB2312" w:hAnsi="Times New Roman" w:eastAsia="仿宋_GB2312" w:cs="仿宋_GB2312"/>
                <w:color w:val="000000"/>
                <w:kern w:val="0"/>
                <w:szCs w:val="21"/>
                <w:lang w:bidi="ar"/>
              </w:rPr>
              <w:t>二类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szCs w:val="21"/>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2023</w:t>
            </w:r>
            <w:r>
              <w:rPr>
                <w:rFonts w:ascii="仿宋_GB2312" w:hAnsi="Times New Roman" w:eastAsia="仿宋_GB2312" w:cs="仿宋_GB2312"/>
                <w:color w:val="000000"/>
                <w:kern w:val="0"/>
                <w:szCs w:val="21"/>
                <w:lang w:bidi="ar"/>
              </w:rPr>
              <w:t>年补充调查</w:t>
            </w:r>
          </w:p>
        </w:tc>
      </w:tr>
    </w:tbl>
    <w:p>
      <w:pPr>
        <w:spacing w:line="560" w:lineRule="exact"/>
        <w:jc w:val="center"/>
        <w:rPr>
          <w:rFonts w:ascii="仿宋_GB2312" w:hAnsi="仿宋_GB2312" w:eastAsia="仿宋_GB2312" w:cs="仿宋_GB2312"/>
          <w:szCs w:val="21"/>
        </w:rPr>
      </w:pPr>
    </w:p>
    <w:p>
      <w:pPr>
        <w:rPr>
          <w:rFonts w:ascii="Times New Roman" w:hAnsi="Times New Roman" w:eastAsia="黑体" w:cs="Times New Roman"/>
          <w:sz w:val="32"/>
          <w:szCs w:val="32"/>
        </w:rPr>
      </w:pPr>
      <w:r>
        <w:rPr>
          <w:rFonts w:ascii="Times New Roman" w:hAnsi="Times New Roman" w:eastAsia="黑体" w:cs="Times New Roman"/>
          <w:sz w:val="32"/>
          <w:szCs w:val="32"/>
        </w:rPr>
        <w:br w:type="page"/>
      </w:r>
    </w:p>
    <w:p>
      <w:pPr>
        <w:spacing w:line="560" w:lineRule="exact"/>
        <w:jc w:val="left"/>
        <w:rPr>
          <w:rFonts w:ascii="Times New Roman" w:hAnsi="Times New Roman" w:eastAsia="黑体" w:cs="Times New Roman"/>
          <w:sz w:val="32"/>
          <w:szCs w:val="32"/>
        </w:rPr>
        <w:sectPr>
          <w:pgSz w:w="16838" w:h="11906" w:orient="landscape"/>
          <w:pgMar w:top="1803" w:right="1440" w:bottom="1803" w:left="1440" w:header="851" w:footer="992" w:gutter="0"/>
          <w:pgNumType w:fmt="numberInDash"/>
          <w:cols w:space="0" w:num="1"/>
          <w:docGrid w:type="lines" w:linePitch="319" w:charSpace="0"/>
        </w:sectPr>
      </w:pPr>
    </w:p>
    <w:p>
      <w:pPr>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附件3</w:t>
      </w:r>
    </w:p>
    <w:p>
      <w:pPr>
        <w:spacing w:line="560" w:lineRule="exact"/>
        <w:jc w:val="left"/>
        <w:rPr>
          <w:rFonts w:ascii="Times New Roman" w:hAnsi="Times New Roman" w:eastAsia="黑体" w:cs="Times New Roman"/>
          <w:sz w:val="32"/>
          <w:szCs w:val="32"/>
        </w:rPr>
      </w:pPr>
    </w:p>
    <w:p>
      <w:pPr>
        <w:spacing w:line="560" w:lineRule="exact"/>
        <w:jc w:val="center"/>
        <w:rPr>
          <w:rFonts w:ascii="Times New Roman" w:hAnsi="Times New Roman" w:eastAsia="黑体" w:cs="Times New Roman"/>
          <w:sz w:val="32"/>
          <w:szCs w:val="32"/>
        </w:rPr>
      </w:pPr>
      <w:r>
        <w:rPr>
          <w:rFonts w:hint="eastAsia" w:ascii="Times New Roman" w:hAnsi="Times New Roman" w:eastAsia="黑体" w:cs="Times New Roman"/>
          <w:sz w:val="32"/>
          <w:szCs w:val="32"/>
        </w:rPr>
        <w:t>市级联络人员信息登记表</w:t>
      </w:r>
    </w:p>
    <w:p>
      <w:pPr>
        <w:spacing w:line="560" w:lineRule="exact"/>
        <w:jc w:val="center"/>
        <w:rPr>
          <w:rFonts w:ascii="Times New Roman" w:hAnsi="Times New Roman" w:eastAsia="黑体" w:cs="Times New Roman"/>
          <w:sz w:val="20"/>
          <w:szCs w:val="20"/>
        </w:rPr>
      </w:pP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421"/>
        <w:gridCol w:w="1421"/>
        <w:gridCol w:w="1421"/>
        <w:gridCol w:w="1421"/>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地市</w:t>
            </w:r>
          </w:p>
        </w:tc>
        <w:tc>
          <w:tcPr>
            <w:tcW w:w="833"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姓名</w:t>
            </w:r>
          </w:p>
        </w:tc>
        <w:tc>
          <w:tcPr>
            <w:tcW w:w="833"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职务</w:t>
            </w:r>
          </w:p>
        </w:tc>
        <w:tc>
          <w:tcPr>
            <w:tcW w:w="833"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电话</w:t>
            </w:r>
          </w:p>
        </w:tc>
        <w:tc>
          <w:tcPr>
            <w:tcW w:w="833"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手机</w:t>
            </w:r>
          </w:p>
        </w:tc>
        <w:tc>
          <w:tcPr>
            <w:tcW w:w="834"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XX市</w:t>
            </w: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4" w:type="pct"/>
          </w:tcPr>
          <w:p>
            <w:pPr>
              <w:tabs>
                <w:tab w:val="left" w:pos="4200"/>
              </w:tabs>
              <w:spacing w:line="400" w:lineRule="exact"/>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tcPr>
          <w:p>
            <w:pPr>
              <w:tabs>
                <w:tab w:val="left" w:pos="4200"/>
              </w:tabs>
              <w:spacing w:line="400" w:lineRule="exact"/>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w:t>
            </w: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4" w:type="pct"/>
          </w:tcPr>
          <w:p>
            <w:pPr>
              <w:tabs>
                <w:tab w:val="left" w:pos="4200"/>
              </w:tabs>
              <w:spacing w:line="400" w:lineRule="exact"/>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4" w:type="pct"/>
          </w:tcPr>
          <w:p>
            <w:pPr>
              <w:tabs>
                <w:tab w:val="left" w:pos="4200"/>
              </w:tabs>
              <w:spacing w:line="400" w:lineRule="exact"/>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4" w:type="pct"/>
          </w:tcPr>
          <w:p>
            <w:pPr>
              <w:tabs>
                <w:tab w:val="left" w:pos="4200"/>
              </w:tabs>
              <w:spacing w:line="400" w:lineRule="exact"/>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3" w:type="pct"/>
          </w:tcPr>
          <w:p>
            <w:pPr>
              <w:tabs>
                <w:tab w:val="left" w:pos="4200"/>
              </w:tabs>
              <w:spacing w:line="400" w:lineRule="exact"/>
              <w:jc w:val="center"/>
              <w:rPr>
                <w:rFonts w:hint="default" w:ascii="Times New Roman" w:hAnsi="Times New Roman" w:eastAsia="仿宋_GB2312" w:cs="Times New Roman"/>
                <w:szCs w:val="21"/>
              </w:rPr>
            </w:pPr>
          </w:p>
        </w:tc>
        <w:tc>
          <w:tcPr>
            <w:tcW w:w="834" w:type="pct"/>
          </w:tcPr>
          <w:p>
            <w:pPr>
              <w:tabs>
                <w:tab w:val="left" w:pos="4200"/>
              </w:tabs>
              <w:spacing w:line="400" w:lineRule="exact"/>
              <w:jc w:val="center"/>
              <w:rPr>
                <w:rFonts w:hint="default" w:ascii="Times New Roman" w:hAnsi="Times New Roman" w:eastAsia="仿宋_GB2312" w:cs="Times New Roman"/>
                <w:szCs w:val="21"/>
              </w:rPr>
            </w:pPr>
          </w:p>
        </w:tc>
      </w:tr>
    </w:tbl>
    <w:p>
      <w:pPr>
        <w:tabs>
          <w:tab w:val="left" w:pos="10828"/>
        </w:tabs>
        <w:spacing w:line="300" w:lineRule="exact"/>
        <w:ind w:firstLine="420" w:firstLineChars="200"/>
        <w:rPr>
          <w:rFonts w:ascii="Times New Roman" w:hAnsi="Times New Roman" w:eastAsia="仿宋" w:cs="Times New Roman"/>
          <w:szCs w:val="21"/>
        </w:rPr>
      </w:pPr>
    </w:p>
    <w:sectPr>
      <w:pgSz w:w="11906" w:h="16838"/>
      <w:pgMar w:top="1440" w:right="1800" w:bottom="1440" w:left="180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- 52 -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- 52 -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943A8B"/>
    <w:multiLevelType w:val="singleLevel"/>
    <w:tmpl w:val="F5943A8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5YjUyMzA2OTRlNGFmNzU3OWQwZTQyNDg5MTFjYmMifQ=="/>
  </w:docVars>
  <w:rsids>
    <w:rsidRoot w:val="00112CF0"/>
    <w:rsid w:val="00112CF0"/>
    <w:rsid w:val="00245594"/>
    <w:rsid w:val="002B7432"/>
    <w:rsid w:val="003C4141"/>
    <w:rsid w:val="004519B4"/>
    <w:rsid w:val="004F7729"/>
    <w:rsid w:val="005F798E"/>
    <w:rsid w:val="006165F7"/>
    <w:rsid w:val="006439CF"/>
    <w:rsid w:val="007C717F"/>
    <w:rsid w:val="008322BB"/>
    <w:rsid w:val="008B64A4"/>
    <w:rsid w:val="009049D8"/>
    <w:rsid w:val="00BB04E2"/>
    <w:rsid w:val="00C131BF"/>
    <w:rsid w:val="00DA5112"/>
    <w:rsid w:val="00ED2E55"/>
    <w:rsid w:val="011253ED"/>
    <w:rsid w:val="01193FDF"/>
    <w:rsid w:val="012E3A45"/>
    <w:rsid w:val="01BB7D42"/>
    <w:rsid w:val="01F3521E"/>
    <w:rsid w:val="02D908B8"/>
    <w:rsid w:val="03B64756"/>
    <w:rsid w:val="04B56157"/>
    <w:rsid w:val="0500714C"/>
    <w:rsid w:val="05503619"/>
    <w:rsid w:val="05A45DB3"/>
    <w:rsid w:val="05AD7DDA"/>
    <w:rsid w:val="05BB24F7"/>
    <w:rsid w:val="05D00F0E"/>
    <w:rsid w:val="062743A8"/>
    <w:rsid w:val="06392511"/>
    <w:rsid w:val="067B6684"/>
    <w:rsid w:val="06CF5A9B"/>
    <w:rsid w:val="06FE0FA5"/>
    <w:rsid w:val="072D5790"/>
    <w:rsid w:val="077B3864"/>
    <w:rsid w:val="07990616"/>
    <w:rsid w:val="07C46E6D"/>
    <w:rsid w:val="084F6276"/>
    <w:rsid w:val="08FF3204"/>
    <w:rsid w:val="090A5B32"/>
    <w:rsid w:val="092E1529"/>
    <w:rsid w:val="097C6783"/>
    <w:rsid w:val="099D1EDE"/>
    <w:rsid w:val="09C825A4"/>
    <w:rsid w:val="0A25198E"/>
    <w:rsid w:val="0A373F1A"/>
    <w:rsid w:val="0A595E3B"/>
    <w:rsid w:val="0ACC2AB1"/>
    <w:rsid w:val="0B002137"/>
    <w:rsid w:val="0B1003F0"/>
    <w:rsid w:val="0B350656"/>
    <w:rsid w:val="0BB21CA6"/>
    <w:rsid w:val="0BE338BF"/>
    <w:rsid w:val="0BED7743"/>
    <w:rsid w:val="0C043DA5"/>
    <w:rsid w:val="0C592107"/>
    <w:rsid w:val="0D4726C0"/>
    <w:rsid w:val="0D9A321C"/>
    <w:rsid w:val="0DA56303"/>
    <w:rsid w:val="0DBE5BB7"/>
    <w:rsid w:val="0E035967"/>
    <w:rsid w:val="0E2A3392"/>
    <w:rsid w:val="0E3E5A73"/>
    <w:rsid w:val="0E814E49"/>
    <w:rsid w:val="0EF600FC"/>
    <w:rsid w:val="0F302661"/>
    <w:rsid w:val="0F84395A"/>
    <w:rsid w:val="10C20B75"/>
    <w:rsid w:val="10EE1DB9"/>
    <w:rsid w:val="113C3BFE"/>
    <w:rsid w:val="113F37A2"/>
    <w:rsid w:val="11691B7F"/>
    <w:rsid w:val="11A257D6"/>
    <w:rsid w:val="11F1409D"/>
    <w:rsid w:val="127B4D28"/>
    <w:rsid w:val="12A3059B"/>
    <w:rsid w:val="12E21AB9"/>
    <w:rsid w:val="13141499"/>
    <w:rsid w:val="13195C95"/>
    <w:rsid w:val="135950FD"/>
    <w:rsid w:val="135B0E75"/>
    <w:rsid w:val="13A46379"/>
    <w:rsid w:val="13CE37AB"/>
    <w:rsid w:val="13EE637E"/>
    <w:rsid w:val="1457570C"/>
    <w:rsid w:val="14D72B5E"/>
    <w:rsid w:val="15C06625"/>
    <w:rsid w:val="15DB004C"/>
    <w:rsid w:val="15DB2014"/>
    <w:rsid w:val="15E04650"/>
    <w:rsid w:val="16135A37"/>
    <w:rsid w:val="16C60CFC"/>
    <w:rsid w:val="17580658"/>
    <w:rsid w:val="177B0C1B"/>
    <w:rsid w:val="178B204C"/>
    <w:rsid w:val="17EC4792"/>
    <w:rsid w:val="181D5F55"/>
    <w:rsid w:val="18B54AE0"/>
    <w:rsid w:val="18BC1E17"/>
    <w:rsid w:val="18F278B2"/>
    <w:rsid w:val="1926044D"/>
    <w:rsid w:val="19634911"/>
    <w:rsid w:val="19E04F67"/>
    <w:rsid w:val="19E539C3"/>
    <w:rsid w:val="1A19123E"/>
    <w:rsid w:val="1A3C0D29"/>
    <w:rsid w:val="1A7C1128"/>
    <w:rsid w:val="1A956CEF"/>
    <w:rsid w:val="1AA75E0B"/>
    <w:rsid w:val="1ABF3825"/>
    <w:rsid w:val="1AC107D1"/>
    <w:rsid w:val="1AD7455F"/>
    <w:rsid w:val="1B065B6B"/>
    <w:rsid w:val="1B3A5154"/>
    <w:rsid w:val="1B55111F"/>
    <w:rsid w:val="1B661C75"/>
    <w:rsid w:val="1B6F77D6"/>
    <w:rsid w:val="1C18659D"/>
    <w:rsid w:val="1C24023A"/>
    <w:rsid w:val="1C2556D4"/>
    <w:rsid w:val="1C884B9E"/>
    <w:rsid w:val="1CC41839"/>
    <w:rsid w:val="1D5E518C"/>
    <w:rsid w:val="1DC13FCB"/>
    <w:rsid w:val="1DC33DBE"/>
    <w:rsid w:val="1E14059F"/>
    <w:rsid w:val="1E200CF1"/>
    <w:rsid w:val="1EA90CE7"/>
    <w:rsid w:val="1F833C2E"/>
    <w:rsid w:val="1FFC3A91"/>
    <w:rsid w:val="2090602C"/>
    <w:rsid w:val="20CB6CB7"/>
    <w:rsid w:val="211B7E12"/>
    <w:rsid w:val="21C2082A"/>
    <w:rsid w:val="21CE0BEA"/>
    <w:rsid w:val="21D5643D"/>
    <w:rsid w:val="22132785"/>
    <w:rsid w:val="224C58F4"/>
    <w:rsid w:val="22794E74"/>
    <w:rsid w:val="22926B7C"/>
    <w:rsid w:val="230B5EC0"/>
    <w:rsid w:val="23250B58"/>
    <w:rsid w:val="236D0016"/>
    <w:rsid w:val="245636BF"/>
    <w:rsid w:val="246062EC"/>
    <w:rsid w:val="2478215B"/>
    <w:rsid w:val="24842422"/>
    <w:rsid w:val="24B3492E"/>
    <w:rsid w:val="24B623B0"/>
    <w:rsid w:val="24E817B0"/>
    <w:rsid w:val="25423C43"/>
    <w:rsid w:val="25735BDC"/>
    <w:rsid w:val="25930452"/>
    <w:rsid w:val="25AD47A6"/>
    <w:rsid w:val="25C97EC1"/>
    <w:rsid w:val="26D1431F"/>
    <w:rsid w:val="276C31F9"/>
    <w:rsid w:val="2846097E"/>
    <w:rsid w:val="28A72990"/>
    <w:rsid w:val="29B03871"/>
    <w:rsid w:val="2A587888"/>
    <w:rsid w:val="2A774E4F"/>
    <w:rsid w:val="2A88034A"/>
    <w:rsid w:val="2AAA0A66"/>
    <w:rsid w:val="2B3E6C5B"/>
    <w:rsid w:val="2B730428"/>
    <w:rsid w:val="2BB05DAB"/>
    <w:rsid w:val="2BE43A0A"/>
    <w:rsid w:val="2C270644"/>
    <w:rsid w:val="2C29790B"/>
    <w:rsid w:val="2C91791C"/>
    <w:rsid w:val="2D5B61B0"/>
    <w:rsid w:val="2DA51B48"/>
    <w:rsid w:val="2E033284"/>
    <w:rsid w:val="2E086BBB"/>
    <w:rsid w:val="2E524D35"/>
    <w:rsid w:val="2E7D3F3E"/>
    <w:rsid w:val="2EAC1119"/>
    <w:rsid w:val="2F0F3CE7"/>
    <w:rsid w:val="2FCA4F61"/>
    <w:rsid w:val="302326EC"/>
    <w:rsid w:val="306B48CF"/>
    <w:rsid w:val="30CB35A4"/>
    <w:rsid w:val="310E0E7D"/>
    <w:rsid w:val="3132036D"/>
    <w:rsid w:val="31471E12"/>
    <w:rsid w:val="31701B38"/>
    <w:rsid w:val="31DA31FC"/>
    <w:rsid w:val="32541CBF"/>
    <w:rsid w:val="32C27FC8"/>
    <w:rsid w:val="32E53E60"/>
    <w:rsid w:val="330500E4"/>
    <w:rsid w:val="33771209"/>
    <w:rsid w:val="33E53555"/>
    <w:rsid w:val="33E91AED"/>
    <w:rsid w:val="34034EE6"/>
    <w:rsid w:val="34873D6E"/>
    <w:rsid w:val="349B3A58"/>
    <w:rsid w:val="34CA2A06"/>
    <w:rsid w:val="34DF2F1B"/>
    <w:rsid w:val="35393BED"/>
    <w:rsid w:val="35A75C02"/>
    <w:rsid w:val="35CE773E"/>
    <w:rsid w:val="35DE1017"/>
    <w:rsid w:val="35F020F1"/>
    <w:rsid w:val="35FE1B5F"/>
    <w:rsid w:val="36110A8B"/>
    <w:rsid w:val="3684230E"/>
    <w:rsid w:val="36A10186"/>
    <w:rsid w:val="36CB4631"/>
    <w:rsid w:val="36DC4EB6"/>
    <w:rsid w:val="371E77EF"/>
    <w:rsid w:val="37353356"/>
    <w:rsid w:val="37372993"/>
    <w:rsid w:val="37543B31"/>
    <w:rsid w:val="377E7F6C"/>
    <w:rsid w:val="38280816"/>
    <w:rsid w:val="387719FE"/>
    <w:rsid w:val="390B0AC4"/>
    <w:rsid w:val="395D5E89"/>
    <w:rsid w:val="39BC3B6C"/>
    <w:rsid w:val="3A72247D"/>
    <w:rsid w:val="3A7B02E9"/>
    <w:rsid w:val="3ABD69A3"/>
    <w:rsid w:val="3ADA40C1"/>
    <w:rsid w:val="3B157666"/>
    <w:rsid w:val="3B4E137C"/>
    <w:rsid w:val="3B4F26D8"/>
    <w:rsid w:val="3B930E4C"/>
    <w:rsid w:val="3C9B3510"/>
    <w:rsid w:val="3CEC5890"/>
    <w:rsid w:val="3D6B7146"/>
    <w:rsid w:val="3E620C56"/>
    <w:rsid w:val="3ED04118"/>
    <w:rsid w:val="3EFB0730"/>
    <w:rsid w:val="3F0D6C18"/>
    <w:rsid w:val="3F823162"/>
    <w:rsid w:val="3FCB0C63"/>
    <w:rsid w:val="4021297B"/>
    <w:rsid w:val="40270C5C"/>
    <w:rsid w:val="402E32EA"/>
    <w:rsid w:val="41004C87"/>
    <w:rsid w:val="4148196C"/>
    <w:rsid w:val="414F3518"/>
    <w:rsid w:val="41550197"/>
    <w:rsid w:val="418F199D"/>
    <w:rsid w:val="41EA73E5"/>
    <w:rsid w:val="41EB3C87"/>
    <w:rsid w:val="422708E1"/>
    <w:rsid w:val="42556BA7"/>
    <w:rsid w:val="42765895"/>
    <w:rsid w:val="42C34FE0"/>
    <w:rsid w:val="440B25C0"/>
    <w:rsid w:val="443D58AA"/>
    <w:rsid w:val="4447069C"/>
    <w:rsid w:val="44646F08"/>
    <w:rsid w:val="449615D6"/>
    <w:rsid w:val="44CB2C2B"/>
    <w:rsid w:val="452D4F30"/>
    <w:rsid w:val="45DE11BC"/>
    <w:rsid w:val="461737DF"/>
    <w:rsid w:val="46CC37DE"/>
    <w:rsid w:val="473C0531"/>
    <w:rsid w:val="4765322A"/>
    <w:rsid w:val="47AF58BC"/>
    <w:rsid w:val="47F20CBD"/>
    <w:rsid w:val="48C25ECF"/>
    <w:rsid w:val="48D03190"/>
    <w:rsid w:val="48FC47B3"/>
    <w:rsid w:val="490206AB"/>
    <w:rsid w:val="491A0FE8"/>
    <w:rsid w:val="49373210"/>
    <w:rsid w:val="498952CE"/>
    <w:rsid w:val="49FA6FB5"/>
    <w:rsid w:val="4A4D4617"/>
    <w:rsid w:val="4A796076"/>
    <w:rsid w:val="4AF2097D"/>
    <w:rsid w:val="4B9B0F79"/>
    <w:rsid w:val="4BC93E36"/>
    <w:rsid w:val="4BD03CBD"/>
    <w:rsid w:val="4C7E2A39"/>
    <w:rsid w:val="4CA251AF"/>
    <w:rsid w:val="4CFE0647"/>
    <w:rsid w:val="4D135D42"/>
    <w:rsid w:val="4DAA7B24"/>
    <w:rsid w:val="4E041FC0"/>
    <w:rsid w:val="4E23089D"/>
    <w:rsid w:val="4E37780E"/>
    <w:rsid w:val="4E3E633B"/>
    <w:rsid w:val="4E5B4078"/>
    <w:rsid w:val="4EB8094F"/>
    <w:rsid w:val="4F4977F9"/>
    <w:rsid w:val="4F92401E"/>
    <w:rsid w:val="4FBA11C3"/>
    <w:rsid w:val="4FD324CB"/>
    <w:rsid w:val="506863A4"/>
    <w:rsid w:val="506D3F17"/>
    <w:rsid w:val="51445E9B"/>
    <w:rsid w:val="51A451BA"/>
    <w:rsid w:val="5201085F"/>
    <w:rsid w:val="522D3402"/>
    <w:rsid w:val="523522B6"/>
    <w:rsid w:val="523B7B9F"/>
    <w:rsid w:val="530E3AF5"/>
    <w:rsid w:val="5314133F"/>
    <w:rsid w:val="53B96ADB"/>
    <w:rsid w:val="53C9715A"/>
    <w:rsid w:val="53DD49B3"/>
    <w:rsid w:val="54063F0A"/>
    <w:rsid w:val="548452DE"/>
    <w:rsid w:val="549E4143"/>
    <w:rsid w:val="54FE4E15"/>
    <w:rsid w:val="55C027DF"/>
    <w:rsid w:val="55FE071E"/>
    <w:rsid w:val="56057751"/>
    <w:rsid w:val="56133D96"/>
    <w:rsid w:val="56DE2F1C"/>
    <w:rsid w:val="572423A5"/>
    <w:rsid w:val="57991700"/>
    <w:rsid w:val="57BA4B8B"/>
    <w:rsid w:val="57FB0818"/>
    <w:rsid w:val="58213433"/>
    <w:rsid w:val="583628E4"/>
    <w:rsid w:val="58440926"/>
    <w:rsid w:val="584F3CFB"/>
    <w:rsid w:val="585455C7"/>
    <w:rsid w:val="589A7317"/>
    <w:rsid w:val="58DE366C"/>
    <w:rsid w:val="58E31737"/>
    <w:rsid w:val="592E180D"/>
    <w:rsid w:val="59382A5A"/>
    <w:rsid w:val="598870B1"/>
    <w:rsid w:val="59B461B6"/>
    <w:rsid w:val="59EF720D"/>
    <w:rsid w:val="5A3B2157"/>
    <w:rsid w:val="5A6260C4"/>
    <w:rsid w:val="5AAC6C1B"/>
    <w:rsid w:val="5AD16A2B"/>
    <w:rsid w:val="5B1D1B5B"/>
    <w:rsid w:val="5B7E082A"/>
    <w:rsid w:val="5C0E62BC"/>
    <w:rsid w:val="5C14118E"/>
    <w:rsid w:val="5C336A8C"/>
    <w:rsid w:val="5C54629A"/>
    <w:rsid w:val="5C667B45"/>
    <w:rsid w:val="5C983B6D"/>
    <w:rsid w:val="5D0D6309"/>
    <w:rsid w:val="5D746389"/>
    <w:rsid w:val="5DF02348"/>
    <w:rsid w:val="5DF22287"/>
    <w:rsid w:val="5E20206C"/>
    <w:rsid w:val="5E97107A"/>
    <w:rsid w:val="5EC416A9"/>
    <w:rsid w:val="5EE84038"/>
    <w:rsid w:val="5F8C3EEF"/>
    <w:rsid w:val="5FCD2DA8"/>
    <w:rsid w:val="600734E4"/>
    <w:rsid w:val="601D6EA0"/>
    <w:rsid w:val="604C0DB9"/>
    <w:rsid w:val="611002E0"/>
    <w:rsid w:val="61764CA8"/>
    <w:rsid w:val="61F204EF"/>
    <w:rsid w:val="61F57EDF"/>
    <w:rsid w:val="62005DF9"/>
    <w:rsid w:val="62101690"/>
    <w:rsid w:val="62483940"/>
    <w:rsid w:val="62FE04A2"/>
    <w:rsid w:val="63210B26"/>
    <w:rsid w:val="6353259C"/>
    <w:rsid w:val="637E39F2"/>
    <w:rsid w:val="637F1504"/>
    <w:rsid w:val="639037F0"/>
    <w:rsid w:val="63E46F54"/>
    <w:rsid w:val="641066DF"/>
    <w:rsid w:val="642979E4"/>
    <w:rsid w:val="64D37E39"/>
    <w:rsid w:val="64E75692"/>
    <w:rsid w:val="651B078C"/>
    <w:rsid w:val="6560528D"/>
    <w:rsid w:val="656B33D9"/>
    <w:rsid w:val="65BA3EB5"/>
    <w:rsid w:val="65CA2E8B"/>
    <w:rsid w:val="65F76425"/>
    <w:rsid w:val="660E4EA0"/>
    <w:rsid w:val="66763171"/>
    <w:rsid w:val="66D63C10"/>
    <w:rsid w:val="66D85372"/>
    <w:rsid w:val="677156E7"/>
    <w:rsid w:val="678214A0"/>
    <w:rsid w:val="68171831"/>
    <w:rsid w:val="68925CBB"/>
    <w:rsid w:val="68EF7471"/>
    <w:rsid w:val="692A3D9F"/>
    <w:rsid w:val="693506E1"/>
    <w:rsid w:val="695E1C9B"/>
    <w:rsid w:val="69C2494E"/>
    <w:rsid w:val="69F525FF"/>
    <w:rsid w:val="6A18109A"/>
    <w:rsid w:val="6A4E3ABD"/>
    <w:rsid w:val="6AEB57B0"/>
    <w:rsid w:val="6B6F018F"/>
    <w:rsid w:val="6B7A67AF"/>
    <w:rsid w:val="6B825095"/>
    <w:rsid w:val="6B86698E"/>
    <w:rsid w:val="6B9415A3"/>
    <w:rsid w:val="6B9D2185"/>
    <w:rsid w:val="6C471E85"/>
    <w:rsid w:val="6C9A748E"/>
    <w:rsid w:val="6CA420BB"/>
    <w:rsid w:val="6D045016"/>
    <w:rsid w:val="6DF432C3"/>
    <w:rsid w:val="6E764EC1"/>
    <w:rsid w:val="6E7F62E4"/>
    <w:rsid w:val="6EEB2223"/>
    <w:rsid w:val="6F084B83"/>
    <w:rsid w:val="6F137195"/>
    <w:rsid w:val="6F4651E9"/>
    <w:rsid w:val="6F541B76"/>
    <w:rsid w:val="6F63625D"/>
    <w:rsid w:val="6F9703EF"/>
    <w:rsid w:val="6FC50AA4"/>
    <w:rsid w:val="70781894"/>
    <w:rsid w:val="71071CFB"/>
    <w:rsid w:val="710B069E"/>
    <w:rsid w:val="71217433"/>
    <w:rsid w:val="712A1306"/>
    <w:rsid w:val="715E5923"/>
    <w:rsid w:val="71D40D4C"/>
    <w:rsid w:val="72361A07"/>
    <w:rsid w:val="725105EF"/>
    <w:rsid w:val="726E2F4F"/>
    <w:rsid w:val="7294672D"/>
    <w:rsid w:val="7312139A"/>
    <w:rsid w:val="73135A6C"/>
    <w:rsid w:val="735C2B28"/>
    <w:rsid w:val="73B75BD8"/>
    <w:rsid w:val="73CC5951"/>
    <w:rsid w:val="73FB2D28"/>
    <w:rsid w:val="74054DCB"/>
    <w:rsid w:val="7434407B"/>
    <w:rsid w:val="74AB4A2E"/>
    <w:rsid w:val="74DC4AE7"/>
    <w:rsid w:val="74F11ED4"/>
    <w:rsid w:val="752913AF"/>
    <w:rsid w:val="75365EAA"/>
    <w:rsid w:val="754D1541"/>
    <w:rsid w:val="755B5BD9"/>
    <w:rsid w:val="75834F63"/>
    <w:rsid w:val="75937551"/>
    <w:rsid w:val="75F37394"/>
    <w:rsid w:val="766F056D"/>
    <w:rsid w:val="76C26E8F"/>
    <w:rsid w:val="77063FE5"/>
    <w:rsid w:val="782F2E4C"/>
    <w:rsid w:val="78735D40"/>
    <w:rsid w:val="78CD194F"/>
    <w:rsid w:val="78DD6F38"/>
    <w:rsid w:val="78EE4DE9"/>
    <w:rsid w:val="7940316B"/>
    <w:rsid w:val="796706F8"/>
    <w:rsid w:val="796B22FB"/>
    <w:rsid w:val="798C7C8E"/>
    <w:rsid w:val="79901D67"/>
    <w:rsid w:val="79A100AE"/>
    <w:rsid w:val="79A25BD4"/>
    <w:rsid w:val="7A0E3C66"/>
    <w:rsid w:val="7A4B2097"/>
    <w:rsid w:val="7A88301C"/>
    <w:rsid w:val="7C1A4147"/>
    <w:rsid w:val="7C50215D"/>
    <w:rsid w:val="7C684B1B"/>
    <w:rsid w:val="7CFD384D"/>
    <w:rsid w:val="7D0840D7"/>
    <w:rsid w:val="7D2034B1"/>
    <w:rsid w:val="7DA61F6B"/>
    <w:rsid w:val="7E0617A4"/>
    <w:rsid w:val="7E6D7963"/>
    <w:rsid w:val="7EBD0142"/>
    <w:rsid w:val="7EBE48FD"/>
    <w:rsid w:val="7EC34622"/>
    <w:rsid w:val="7ED30767"/>
    <w:rsid w:val="7EF6179C"/>
    <w:rsid w:val="7FCA6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ind w:firstLine="880" w:firstLineChars="200"/>
      <w:jc w:val="both"/>
      <w:outlineLvl w:val="0"/>
    </w:pPr>
    <w:rPr>
      <w:rFonts w:ascii="Times New Roman" w:hAnsi="Times New Roman" w:eastAsia="黑体" w:cs="仿宋_GB2312"/>
      <w:kern w:val="44"/>
      <w:sz w:val="32"/>
      <w:szCs w:val="32"/>
      <w:lang w:val="en-US" w:eastAsia="zh-CN" w:bidi="ar-SA"/>
    </w:rPr>
  </w:style>
  <w:style w:type="paragraph" w:styleId="3">
    <w:name w:val="heading 2"/>
    <w:next w:val="1"/>
    <w:qFormat/>
    <w:uiPriority w:val="0"/>
    <w:pPr>
      <w:keepNext/>
      <w:keepLines/>
      <w:widowControl w:val="0"/>
      <w:ind w:firstLine="880" w:firstLineChars="200"/>
      <w:jc w:val="both"/>
      <w:outlineLvl w:val="1"/>
    </w:pPr>
    <w:rPr>
      <w:rFonts w:ascii="Arial" w:hAnsi="Arial" w:eastAsia="楷体_GB2312" w:cs="仿宋_GB2312"/>
      <w:b/>
      <w:kern w:val="2"/>
      <w:sz w:val="32"/>
      <w:szCs w:val="32"/>
      <w:lang w:val="en-US" w:eastAsia="zh-CN" w:bidi="ar-SA"/>
    </w:rPr>
  </w:style>
  <w:style w:type="paragraph" w:styleId="4">
    <w:name w:val="heading 3"/>
    <w:next w:val="1"/>
    <w:qFormat/>
    <w:uiPriority w:val="0"/>
    <w:pPr>
      <w:keepNext/>
      <w:keepLines/>
      <w:widowControl w:val="0"/>
      <w:ind w:firstLine="880" w:firstLineChars="200"/>
      <w:jc w:val="both"/>
      <w:outlineLvl w:val="2"/>
    </w:pPr>
    <w:rPr>
      <w:rFonts w:ascii="Times New Roman" w:hAnsi="Times New Roman" w:eastAsia="仿宋_GB2312" w:cs="仿宋_GB2312"/>
      <w:b/>
      <w:kern w:val="2"/>
      <w:sz w:val="32"/>
      <w:szCs w:val="3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font41"/>
    <w:basedOn w:val="10"/>
    <w:qFormat/>
    <w:uiPriority w:val="0"/>
    <w:rPr>
      <w:rFonts w:hint="eastAsia" w:ascii="宋体" w:hAnsi="宋体" w:eastAsia="宋体" w:cs="宋体"/>
      <w:b/>
      <w:bCs/>
      <w:color w:val="000000"/>
      <w:sz w:val="22"/>
      <w:szCs w:val="22"/>
      <w:u w:val="none"/>
    </w:rPr>
  </w:style>
  <w:style w:type="character" w:customStyle="1" w:styleId="13">
    <w:name w:val="font51"/>
    <w:basedOn w:val="10"/>
    <w:qFormat/>
    <w:uiPriority w:val="0"/>
    <w:rPr>
      <w:rFonts w:hint="eastAsia" w:ascii="宋体" w:hAnsi="宋体" w:eastAsia="宋体" w:cs="宋体"/>
      <w:color w:val="000000"/>
      <w:sz w:val="24"/>
      <w:szCs w:val="24"/>
      <w:u w:val="none"/>
    </w:rPr>
  </w:style>
  <w:style w:type="character" w:customStyle="1" w:styleId="14">
    <w:name w:val="font31"/>
    <w:basedOn w:val="10"/>
    <w:qFormat/>
    <w:uiPriority w:val="0"/>
    <w:rPr>
      <w:rFonts w:hint="default" w:ascii="Times New Roman" w:hAnsi="Times New Roman" w:cs="Times New Roman"/>
      <w:color w:val="000000"/>
      <w:sz w:val="24"/>
      <w:szCs w:val="24"/>
      <w:u w:val="none"/>
    </w:rPr>
  </w:style>
  <w:style w:type="character" w:customStyle="1" w:styleId="15">
    <w:name w:val="font11"/>
    <w:basedOn w:val="10"/>
    <w:qFormat/>
    <w:uiPriority w:val="0"/>
    <w:rPr>
      <w:rFonts w:hint="default" w:ascii="Times New Roman" w:hAnsi="Times New Roman" w:cs="Times New Roman"/>
      <w:color w:val="000000"/>
      <w:sz w:val="24"/>
      <w:szCs w:val="24"/>
      <w:u w:val="none"/>
    </w:rPr>
  </w:style>
  <w:style w:type="character" w:customStyle="1" w:styleId="16">
    <w:name w:val="font71"/>
    <w:basedOn w:val="10"/>
    <w:qFormat/>
    <w:uiPriority w:val="0"/>
    <w:rPr>
      <w:rFonts w:hint="eastAsia" w:ascii="仿宋_GB2312" w:eastAsia="仿宋_GB2312" w:cs="仿宋_GB2312"/>
      <w:color w:val="000000"/>
      <w:sz w:val="24"/>
      <w:szCs w:val="24"/>
      <w:u w:val="none"/>
    </w:rPr>
  </w:style>
  <w:style w:type="character" w:customStyle="1" w:styleId="17">
    <w:name w:val="font21"/>
    <w:basedOn w:val="10"/>
    <w:qFormat/>
    <w:uiPriority w:val="0"/>
    <w:rPr>
      <w:rFonts w:hint="default" w:ascii="Times New Roman" w:hAnsi="Times New Roman" w:cs="Times New Roman"/>
      <w:color w:val="000000"/>
      <w:sz w:val="24"/>
      <w:szCs w:val="24"/>
      <w:u w:val="none"/>
    </w:rPr>
  </w:style>
  <w:style w:type="character" w:customStyle="1" w:styleId="18">
    <w:name w:val="font81"/>
    <w:basedOn w:val="10"/>
    <w:qFormat/>
    <w:uiPriority w:val="0"/>
    <w:rPr>
      <w:rFonts w:hint="eastAsia" w:ascii="仿宋_GB2312" w:eastAsia="仿宋_GB2312" w:cs="仿宋_GB2312"/>
      <w:color w:val="FF0000"/>
      <w:sz w:val="24"/>
      <w:szCs w:val="24"/>
      <w:u w:val="none"/>
    </w:rPr>
  </w:style>
  <w:style w:type="character" w:customStyle="1" w:styleId="19">
    <w:name w:val="font91"/>
    <w:basedOn w:val="10"/>
    <w:qFormat/>
    <w:uiPriority w:val="0"/>
    <w:rPr>
      <w:rFonts w:hint="eastAsia" w:ascii="宋体" w:hAnsi="宋体" w:eastAsia="宋体" w:cs="宋体"/>
      <w:color w:val="000000"/>
      <w:sz w:val="24"/>
      <w:szCs w:val="24"/>
      <w:u w:val="none"/>
    </w:rPr>
  </w:style>
  <w:style w:type="character" w:customStyle="1" w:styleId="20">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21">
    <w:name w:val="font101"/>
    <w:qFormat/>
    <w:uiPriority w:val="0"/>
    <w:rPr>
      <w:rFonts w:hint="eastAsia" w:ascii="仿宋_GB2312" w:eastAsia="仿宋_GB2312" w:cs="仿宋_GB2312"/>
      <w:color w:val="000000"/>
      <w:sz w:val="21"/>
      <w:szCs w:val="21"/>
      <w:u w:val="none"/>
    </w:rPr>
  </w:style>
  <w:style w:type="character" w:customStyle="1" w:styleId="22">
    <w:name w:val="font111"/>
    <w:qFormat/>
    <w:uiPriority w:val="0"/>
    <w:rPr>
      <w:rFonts w:hint="default" w:ascii="Times New Roman" w:hAnsi="Times New Roman" w:cs="Times New Roman"/>
      <w:color w:val="000000"/>
      <w:sz w:val="21"/>
      <w:szCs w:val="21"/>
      <w:u w:val="none"/>
    </w:rPr>
  </w:style>
  <w:style w:type="character" w:customStyle="1" w:styleId="23">
    <w:name w:val="font131"/>
    <w:qFormat/>
    <w:uiPriority w:val="0"/>
    <w:rPr>
      <w:rFonts w:hint="eastAsia" w:ascii="宋体" w:hAnsi="宋体" w:eastAsia="宋体" w:cs="宋体"/>
      <w:color w:val="000000"/>
      <w:sz w:val="21"/>
      <w:szCs w:val="21"/>
      <w:u w:val="none"/>
    </w:rPr>
  </w:style>
  <w:style w:type="character" w:customStyle="1" w:styleId="24">
    <w:name w:val="font0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52</Pages>
  <Words>2923</Words>
  <Characters>16666</Characters>
  <Lines>138</Lines>
  <Paragraphs>39</Paragraphs>
  <TotalTime>66</TotalTime>
  <ScaleCrop>false</ScaleCrop>
  <LinksUpToDate>false</LinksUpToDate>
  <CharactersWithSpaces>19550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2022-07-05T00:24:00Z</dcterms:created>
  <dc:creator>94258</dc:creator>
  <cp:lastModifiedBy>橙諾1416476471</cp:lastModifiedBy>
  <cp:lastPrinted>2022-07-04T00:31:00Z</cp:lastPrinted>
  <dcterms:modified xsi:type="dcterms:W3CDTF">2023-07-31T10:23:28Z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B7DB18E6076449DAAFFC8CE4F48C3C00_13</vt:lpwstr>
  </property>
</Properties>
</file>